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52" w:type="dxa"/>
        <w:jc w:val="center"/>
        <w:tblInd w:w="-830" w:type="dxa"/>
        <w:tblBorders>
          <w:insideH w:val="single" w:sz="4" w:space="0" w:color="auto"/>
        </w:tblBorders>
        <w:tblLook w:val="01E0" w:firstRow="1" w:lastRow="1" w:firstColumn="1" w:lastColumn="1" w:noHBand="0" w:noVBand="0"/>
      </w:tblPr>
      <w:tblGrid>
        <w:gridCol w:w="3687"/>
        <w:gridCol w:w="5965"/>
      </w:tblGrid>
      <w:tr w:rsidR="00100BDB" w:rsidRPr="0069535C" w:rsidTr="00F224B4">
        <w:trPr>
          <w:trHeight w:val="992"/>
          <w:jc w:val="center"/>
        </w:trPr>
        <w:tc>
          <w:tcPr>
            <w:tcW w:w="3687" w:type="dxa"/>
            <w:tcBorders>
              <w:bottom w:val="nil"/>
            </w:tcBorders>
          </w:tcPr>
          <w:p w:rsidR="00100BDB" w:rsidRPr="009879FD" w:rsidRDefault="00100BDB" w:rsidP="00F224B4">
            <w:pPr>
              <w:spacing w:after="0" w:line="240" w:lineRule="auto"/>
              <w:jc w:val="center"/>
              <w:rPr>
                <w:noProof/>
                <w:sz w:val="30"/>
              </w:rPr>
            </w:pPr>
            <w:r w:rsidRPr="009879FD">
              <w:rPr>
                <w:noProof/>
                <w:sz w:val="26"/>
              </w:rPr>
              <w:t>UBND TỈNH SƠN LA</w:t>
            </w:r>
          </w:p>
          <w:p w:rsidR="00100BDB" w:rsidRPr="003D6DD3" w:rsidRDefault="0014609E" w:rsidP="00F224B4">
            <w:pPr>
              <w:spacing w:after="0" w:line="240" w:lineRule="auto"/>
              <w:jc w:val="center"/>
              <w:rPr>
                <w:b/>
                <w:sz w:val="24"/>
              </w:rPr>
            </w:pPr>
            <w:r>
              <w:rPr>
                <w:b/>
                <w:noProof/>
              </w:rPr>
              <w:pict>
                <v:shapetype id="_x0000_t32" coordsize="21600,21600" o:spt="32" o:oned="t" path="m,l21600,21600e" filled="f">
                  <v:path arrowok="t" fillok="f" o:connecttype="none"/>
                  <o:lock v:ext="edit" shapetype="t"/>
                </v:shapetype>
                <v:shape id="_x0000_s1027" type="#_x0000_t32" style="position:absolute;left:0;text-align:left;margin-left:47.8pt;margin-top:16.9pt;width:71.25pt;height:0;z-index:251661312" o:connectortype="straight"/>
              </w:pict>
            </w:r>
            <w:r w:rsidR="00100BDB" w:rsidRPr="003D6DD3">
              <w:rPr>
                <w:b/>
                <w:sz w:val="24"/>
              </w:rPr>
              <w:t>HỘI KHUYẾN HỌC</w:t>
            </w:r>
            <w:r w:rsidR="00100BDB" w:rsidRPr="003D6DD3">
              <w:rPr>
                <w:b/>
                <w:sz w:val="26"/>
              </w:rPr>
              <w:t xml:space="preserve"> </w:t>
            </w:r>
          </w:p>
        </w:tc>
        <w:tc>
          <w:tcPr>
            <w:tcW w:w="5965" w:type="dxa"/>
            <w:tcBorders>
              <w:bottom w:val="nil"/>
            </w:tcBorders>
          </w:tcPr>
          <w:p w:rsidR="00100BDB" w:rsidRPr="00FA1F4A" w:rsidRDefault="0014609E" w:rsidP="00F224B4">
            <w:pPr>
              <w:spacing w:line="240" w:lineRule="auto"/>
              <w:jc w:val="center"/>
              <w:rPr>
                <w:b/>
                <w:szCs w:val="26"/>
              </w:rPr>
            </w:pPr>
            <w:r>
              <w:rPr>
                <w:b/>
                <w:noProof/>
                <w:sz w:val="26"/>
                <w:szCs w:val="24"/>
              </w:rPr>
              <w:pict>
                <v:shape id="_x0000_s1028" type="#_x0000_t32" style="position:absolute;left:0;text-align:left;margin-left:66.25pt;margin-top:31.85pt;width:155.2pt;height:0;z-index:251662336;mso-position-horizontal-relative:text;mso-position-vertical-relative:text" o:connectortype="straight"/>
              </w:pict>
            </w:r>
            <w:r w:rsidR="00100BDB" w:rsidRPr="009879FD">
              <w:rPr>
                <w:b/>
                <w:sz w:val="26"/>
                <w:szCs w:val="24"/>
              </w:rPr>
              <w:t>CỘNG HÒA XÃ HỘI CHỦ NGHĨA VIỆT</w:t>
            </w:r>
            <w:r w:rsidR="00100BDB" w:rsidRPr="009879FD">
              <w:rPr>
                <w:b/>
                <w:szCs w:val="26"/>
              </w:rPr>
              <w:t xml:space="preserve"> </w:t>
            </w:r>
            <w:r w:rsidR="00100BDB" w:rsidRPr="009879FD">
              <w:rPr>
                <w:b/>
                <w:sz w:val="30"/>
                <w:szCs w:val="26"/>
              </w:rPr>
              <w:t xml:space="preserve"> </w:t>
            </w:r>
            <w:smartTag w:uri="urn:schemas-microsoft-com:office:smarttags" w:element="place">
              <w:smartTag w:uri="urn:schemas-microsoft-com:office:smarttags" w:element="country-region">
                <w:r w:rsidR="00100BDB" w:rsidRPr="009879FD">
                  <w:rPr>
                    <w:b/>
                    <w:sz w:val="26"/>
                    <w:szCs w:val="24"/>
                  </w:rPr>
                  <w:t>NAM</w:t>
                </w:r>
              </w:smartTag>
            </w:smartTag>
            <w:r w:rsidR="00100BDB" w:rsidRPr="009879FD">
              <w:rPr>
                <w:b/>
                <w:sz w:val="30"/>
                <w:szCs w:val="26"/>
              </w:rPr>
              <w:t xml:space="preserve">  </w:t>
            </w:r>
            <w:r w:rsidR="00100BDB" w:rsidRPr="009879FD">
              <w:rPr>
                <w:b/>
                <w:sz w:val="26"/>
                <w:szCs w:val="26"/>
              </w:rPr>
              <w:t xml:space="preserve">  </w:t>
            </w:r>
            <w:r w:rsidR="00100BDB" w:rsidRPr="00C2243D">
              <w:rPr>
                <w:b/>
                <w:sz w:val="26"/>
                <w:szCs w:val="26"/>
              </w:rPr>
              <w:t>Độc lập</w:t>
            </w:r>
            <w:r w:rsidR="00100BDB">
              <w:rPr>
                <w:b/>
                <w:sz w:val="26"/>
                <w:szCs w:val="26"/>
              </w:rPr>
              <w:t xml:space="preserve"> </w:t>
            </w:r>
            <w:r w:rsidR="00100BDB" w:rsidRPr="00C2243D">
              <w:rPr>
                <w:b/>
                <w:sz w:val="26"/>
                <w:szCs w:val="26"/>
              </w:rPr>
              <w:t>-</w:t>
            </w:r>
            <w:r w:rsidR="00100BDB">
              <w:rPr>
                <w:b/>
                <w:sz w:val="26"/>
                <w:szCs w:val="26"/>
              </w:rPr>
              <w:t xml:space="preserve"> </w:t>
            </w:r>
            <w:r w:rsidR="00100BDB" w:rsidRPr="00C2243D">
              <w:rPr>
                <w:b/>
                <w:sz w:val="26"/>
                <w:szCs w:val="26"/>
              </w:rPr>
              <w:t xml:space="preserve">Tự do </w:t>
            </w:r>
            <w:r w:rsidR="00100BDB">
              <w:rPr>
                <w:b/>
                <w:sz w:val="26"/>
                <w:szCs w:val="26"/>
              </w:rPr>
              <w:t>-</w:t>
            </w:r>
            <w:r w:rsidR="00100BDB" w:rsidRPr="00C2243D">
              <w:rPr>
                <w:b/>
                <w:sz w:val="26"/>
                <w:szCs w:val="26"/>
              </w:rPr>
              <w:t xml:space="preserve"> Hạnh phúc</w:t>
            </w:r>
          </w:p>
        </w:tc>
      </w:tr>
      <w:tr w:rsidR="00100BDB" w:rsidRPr="004658F5" w:rsidTr="00F224B4">
        <w:trPr>
          <w:trHeight w:val="564"/>
          <w:jc w:val="center"/>
        </w:trPr>
        <w:tc>
          <w:tcPr>
            <w:tcW w:w="3687" w:type="dxa"/>
            <w:tcBorders>
              <w:top w:val="nil"/>
              <w:bottom w:val="nil"/>
            </w:tcBorders>
          </w:tcPr>
          <w:p w:rsidR="00100BDB" w:rsidRPr="00C2243D" w:rsidRDefault="00100BDB" w:rsidP="003D6DD3">
            <w:pPr>
              <w:spacing w:before="120" w:after="0" w:line="240" w:lineRule="auto"/>
              <w:jc w:val="center"/>
              <w:rPr>
                <w:noProof/>
                <w:sz w:val="24"/>
              </w:rPr>
            </w:pPr>
            <w:r w:rsidRPr="00C2243D">
              <w:rPr>
                <w:sz w:val="26"/>
                <w:szCs w:val="26"/>
              </w:rPr>
              <w:t>Số:</w:t>
            </w:r>
            <w:r w:rsidR="00B825D7">
              <w:rPr>
                <w:sz w:val="26"/>
                <w:szCs w:val="26"/>
              </w:rPr>
              <w:t xml:space="preserve"> 44</w:t>
            </w:r>
            <w:r>
              <w:rPr>
                <w:sz w:val="26"/>
                <w:szCs w:val="26"/>
              </w:rPr>
              <w:t>/</w:t>
            </w:r>
            <w:r w:rsidRPr="00C2243D">
              <w:rPr>
                <w:sz w:val="26"/>
                <w:szCs w:val="26"/>
              </w:rPr>
              <w:t>BC-</w:t>
            </w:r>
            <w:r w:rsidR="003D6DD3">
              <w:rPr>
                <w:sz w:val="26"/>
                <w:szCs w:val="26"/>
              </w:rPr>
              <w:t>HKH</w:t>
            </w:r>
          </w:p>
        </w:tc>
        <w:tc>
          <w:tcPr>
            <w:tcW w:w="5965" w:type="dxa"/>
            <w:tcBorders>
              <w:top w:val="nil"/>
              <w:bottom w:val="nil"/>
            </w:tcBorders>
          </w:tcPr>
          <w:p w:rsidR="00100BDB" w:rsidRPr="0069535C" w:rsidRDefault="00100BDB" w:rsidP="00B825D7">
            <w:pPr>
              <w:spacing w:before="120" w:line="240" w:lineRule="auto"/>
              <w:jc w:val="center"/>
              <w:rPr>
                <w:b/>
                <w:noProof/>
                <w:sz w:val="24"/>
                <w:szCs w:val="24"/>
                <w:lang w:val="fr-FR"/>
              </w:rPr>
            </w:pPr>
            <w:r w:rsidRPr="00FA1F4A">
              <w:rPr>
                <w:i/>
                <w:sz w:val="26"/>
                <w:szCs w:val="26"/>
                <w:lang w:val="fr-FR"/>
              </w:rPr>
              <w:t>Sơn La, ngày</w:t>
            </w:r>
            <w:r>
              <w:rPr>
                <w:i/>
                <w:sz w:val="26"/>
                <w:szCs w:val="26"/>
                <w:lang w:val="fr-FR"/>
              </w:rPr>
              <w:t xml:space="preserve">  </w:t>
            </w:r>
            <w:r w:rsidR="00B825D7">
              <w:rPr>
                <w:i/>
                <w:sz w:val="26"/>
                <w:szCs w:val="26"/>
                <w:lang w:val="fr-FR"/>
              </w:rPr>
              <w:t>29</w:t>
            </w:r>
            <w:r>
              <w:rPr>
                <w:i/>
                <w:sz w:val="26"/>
                <w:szCs w:val="26"/>
                <w:lang w:val="fr-FR"/>
              </w:rPr>
              <w:t xml:space="preserve">  </w:t>
            </w:r>
            <w:r w:rsidRPr="00FA1F4A">
              <w:rPr>
                <w:i/>
                <w:sz w:val="26"/>
                <w:szCs w:val="26"/>
                <w:lang w:val="fr-FR"/>
              </w:rPr>
              <w:t xml:space="preserve">tháng </w:t>
            </w:r>
            <w:r>
              <w:rPr>
                <w:i/>
                <w:sz w:val="26"/>
                <w:szCs w:val="26"/>
                <w:lang w:val="fr-FR"/>
              </w:rPr>
              <w:t>3</w:t>
            </w:r>
            <w:r w:rsidRPr="00FA1F4A">
              <w:rPr>
                <w:i/>
                <w:sz w:val="26"/>
                <w:szCs w:val="26"/>
                <w:lang w:val="fr-FR"/>
              </w:rPr>
              <w:t xml:space="preserve"> năm 20</w:t>
            </w:r>
            <w:r>
              <w:rPr>
                <w:i/>
                <w:sz w:val="26"/>
                <w:szCs w:val="26"/>
                <w:lang w:val="fr-FR"/>
              </w:rPr>
              <w:t>22</w:t>
            </w:r>
          </w:p>
        </w:tc>
      </w:tr>
    </w:tbl>
    <w:p w:rsidR="00B825D7" w:rsidRDefault="00B825D7" w:rsidP="00100BDB">
      <w:pPr>
        <w:spacing w:after="0" w:line="240" w:lineRule="auto"/>
        <w:jc w:val="center"/>
        <w:rPr>
          <w:b/>
          <w:lang w:val="fr-FR"/>
        </w:rPr>
      </w:pPr>
    </w:p>
    <w:p w:rsidR="00100BDB" w:rsidRPr="009855D1" w:rsidRDefault="00100BDB" w:rsidP="00100BDB">
      <w:pPr>
        <w:spacing w:after="0" w:line="240" w:lineRule="auto"/>
        <w:jc w:val="center"/>
        <w:rPr>
          <w:b/>
          <w:lang w:val="fr-FR"/>
        </w:rPr>
      </w:pPr>
      <w:bookmarkStart w:id="0" w:name="_GoBack"/>
      <w:bookmarkEnd w:id="0"/>
      <w:r w:rsidRPr="009855D1">
        <w:rPr>
          <w:b/>
          <w:lang w:val="fr-FR"/>
        </w:rPr>
        <w:t>BÁO CÁO</w:t>
      </w:r>
    </w:p>
    <w:p w:rsidR="00100BDB" w:rsidRDefault="00100BDB" w:rsidP="00100BDB">
      <w:pPr>
        <w:spacing w:after="0" w:line="240" w:lineRule="auto"/>
        <w:jc w:val="center"/>
        <w:rPr>
          <w:b/>
          <w:lang w:val="fr-FR"/>
        </w:rPr>
      </w:pPr>
      <w:r w:rsidRPr="009855D1">
        <w:rPr>
          <w:b/>
          <w:lang w:val="fr-FR"/>
        </w:rPr>
        <w:t xml:space="preserve">Kết quả </w:t>
      </w:r>
      <w:r>
        <w:rPr>
          <w:b/>
          <w:lang w:val="fr-FR"/>
        </w:rPr>
        <w:t>c</w:t>
      </w:r>
      <w:r w:rsidRPr="00C835FD">
        <w:rPr>
          <w:b/>
          <w:lang w:val="fr-FR"/>
        </w:rPr>
        <w:t>ô</w:t>
      </w:r>
      <w:r>
        <w:rPr>
          <w:b/>
          <w:lang w:val="fr-FR"/>
        </w:rPr>
        <w:t>ng t</w:t>
      </w:r>
      <w:r w:rsidRPr="00C835FD">
        <w:rPr>
          <w:b/>
          <w:lang w:val="fr-FR"/>
        </w:rPr>
        <w:t>á</w:t>
      </w:r>
      <w:r>
        <w:rPr>
          <w:b/>
          <w:lang w:val="fr-FR"/>
        </w:rPr>
        <w:t>c qu</w:t>
      </w:r>
      <w:r w:rsidRPr="00F42647">
        <w:rPr>
          <w:b/>
          <w:lang w:val="fr-FR"/>
        </w:rPr>
        <w:t>ý</w:t>
      </w:r>
      <w:r>
        <w:rPr>
          <w:b/>
          <w:lang w:val="fr-FR"/>
        </w:rPr>
        <w:t xml:space="preserve"> I, nhi</w:t>
      </w:r>
      <w:r w:rsidRPr="00C835FD">
        <w:rPr>
          <w:b/>
          <w:lang w:val="fr-FR"/>
        </w:rPr>
        <w:t>ệm</w:t>
      </w:r>
      <w:r>
        <w:rPr>
          <w:b/>
          <w:lang w:val="fr-FR"/>
        </w:rPr>
        <w:t xml:space="preserve"> v</w:t>
      </w:r>
      <w:r w:rsidRPr="00C835FD">
        <w:rPr>
          <w:b/>
          <w:lang w:val="fr-FR"/>
        </w:rPr>
        <w:t>ụ</w:t>
      </w:r>
      <w:r>
        <w:rPr>
          <w:b/>
          <w:lang w:val="fr-FR"/>
        </w:rPr>
        <w:t xml:space="preserve"> tr</w:t>
      </w:r>
      <w:r w:rsidRPr="00C835FD">
        <w:rPr>
          <w:b/>
          <w:lang w:val="fr-FR"/>
        </w:rPr>
        <w:t>ọng</w:t>
      </w:r>
      <w:r>
        <w:rPr>
          <w:b/>
          <w:lang w:val="fr-FR"/>
        </w:rPr>
        <w:t xml:space="preserve"> t</w:t>
      </w:r>
      <w:r w:rsidRPr="00C835FD">
        <w:rPr>
          <w:b/>
          <w:lang w:val="fr-FR"/>
        </w:rPr>
        <w:t>â</w:t>
      </w:r>
      <w:r>
        <w:rPr>
          <w:b/>
          <w:lang w:val="fr-FR"/>
        </w:rPr>
        <w:t>m qu</w:t>
      </w:r>
      <w:r w:rsidRPr="00F42647">
        <w:rPr>
          <w:b/>
          <w:lang w:val="fr-FR"/>
        </w:rPr>
        <w:t>ý</w:t>
      </w:r>
      <w:r>
        <w:rPr>
          <w:b/>
          <w:lang w:val="fr-FR"/>
        </w:rPr>
        <w:t xml:space="preserve"> II n</w:t>
      </w:r>
      <w:r w:rsidRPr="00C835FD">
        <w:rPr>
          <w:b/>
          <w:lang w:val="fr-FR"/>
        </w:rPr>
        <w:t>ă</w:t>
      </w:r>
      <w:r>
        <w:rPr>
          <w:b/>
          <w:lang w:val="fr-FR"/>
        </w:rPr>
        <w:t>m 2022</w:t>
      </w:r>
    </w:p>
    <w:p w:rsidR="00100BDB" w:rsidRPr="00F86502" w:rsidRDefault="00100BDB" w:rsidP="00100BDB">
      <w:pPr>
        <w:spacing w:after="0" w:line="240" w:lineRule="auto"/>
        <w:jc w:val="center"/>
        <w:rPr>
          <w:b/>
          <w:lang w:val="fr-FR"/>
        </w:rPr>
      </w:pPr>
    </w:p>
    <w:p w:rsidR="007E12D7" w:rsidRDefault="007E12D7" w:rsidP="006A5E53">
      <w:pPr>
        <w:spacing w:before="120" w:after="0" w:line="240" w:lineRule="auto"/>
        <w:ind w:firstLine="720"/>
        <w:jc w:val="both"/>
        <w:rPr>
          <w:b/>
          <w:szCs w:val="24"/>
          <w:lang w:val="pt-BR"/>
        </w:rPr>
      </w:pPr>
      <w:r w:rsidRPr="007214AC">
        <w:rPr>
          <w:rFonts w:eastAsia="Arial" w:cs="Times New Roman"/>
          <w:szCs w:val="28"/>
        </w:rPr>
        <w:t xml:space="preserve">Thực hiện </w:t>
      </w:r>
      <w:r w:rsidR="00D1431E">
        <w:rPr>
          <w:rFonts w:eastAsia="Arial" w:cs="Times New Roman"/>
          <w:szCs w:val="28"/>
        </w:rPr>
        <w:t>nhiệm vụ trọng tâm</w:t>
      </w:r>
      <w:r w:rsidRPr="007214AC">
        <w:rPr>
          <w:rFonts w:eastAsia="Arial" w:cs="Times New Roman"/>
          <w:szCs w:val="28"/>
        </w:rPr>
        <w:t xml:space="preserve"> năm 202</w:t>
      </w:r>
      <w:r>
        <w:rPr>
          <w:szCs w:val="28"/>
        </w:rPr>
        <w:t>2</w:t>
      </w:r>
      <w:r w:rsidRPr="007214AC">
        <w:rPr>
          <w:rFonts w:eastAsia="Arial" w:cs="Times New Roman"/>
          <w:szCs w:val="28"/>
        </w:rPr>
        <w:t>, trong bối cảnh dịch bệ</w:t>
      </w:r>
      <w:r>
        <w:rPr>
          <w:szCs w:val="28"/>
        </w:rPr>
        <w:t>nh C</w:t>
      </w:r>
      <w:r w:rsidRPr="007214AC">
        <w:rPr>
          <w:rFonts w:eastAsia="Arial" w:cs="Times New Roman"/>
          <w:szCs w:val="28"/>
        </w:rPr>
        <w:t>ovid – 19 diễn biến phức tạp, kéo dài</w:t>
      </w:r>
      <w:r>
        <w:rPr>
          <w:szCs w:val="28"/>
        </w:rPr>
        <w:t>, song</w:t>
      </w:r>
      <w:r w:rsidRPr="007214AC">
        <w:rPr>
          <w:rFonts w:eastAsia="Arial" w:cs="Times New Roman"/>
          <w:szCs w:val="28"/>
        </w:rPr>
        <w:t xml:space="preserve"> các cấp </w:t>
      </w:r>
      <w:r>
        <w:rPr>
          <w:szCs w:val="28"/>
        </w:rPr>
        <w:t xml:space="preserve">hội </w:t>
      </w:r>
      <w:r w:rsidRPr="007214AC">
        <w:rPr>
          <w:rFonts w:eastAsia="Arial" w:cs="Times New Roman"/>
          <w:szCs w:val="28"/>
        </w:rPr>
        <w:t>đã nỗ lực không ngừng vừa nghiêm túc thực hiện Chỉ thị của TW và của Tỉnh về phòng chống dịch bệnh covid và thực hiện tốt</w:t>
      </w:r>
      <w:r>
        <w:rPr>
          <w:szCs w:val="28"/>
        </w:rPr>
        <w:t xml:space="preserve"> </w:t>
      </w:r>
      <w:r w:rsidRPr="007214AC">
        <w:rPr>
          <w:rFonts w:eastAsia="Arial" w:cs="Times New Roman"/>
          <w:szCs w:val="28"/>
        </w:rPr>
        <w:t xml:space="preserve"> “5K” </w:t>
      </w:r>
      <w:r w:rsidR="00D1431E">
        <w:rPr>
          <w:rFonts w:eastAsia="Arial" w:cs="Times New Roman"/>
          <w:szCs w:val="28"/>
        </w:rPr>
        <w:t xml:space="preserve"> </w:t>
      </w:r>
      <w:r>
        <w:rPr>
          <w:szCs w:val="28"/>
        </w:rPr>
        <w:t>theo chỉ đạo</w:t>
      </w:r>
      <w:r w:rsidRPr="007214AC">
        <w:rPr>
          <w:rFonts w:eastAsia="Arial" w:cs="Times New Roman"/>
          <w:szCs w:val="28"/>
        </w:rPr>
        <w:t xml:space="preserve"> Bộ Y tế, vừa phấn đấu hoàn thành tốt nhiệm vụ kế hoạch đã đề ra</w:t>
      </w:r>
      <w:r>
        <w:rPr>
          <w:szCs w:val="28"/>
        </w:rPr>
        <w:t>.</w:t>
      </w:r>
    </w:p>
    <w:p w:rsidR="00100BDB" w:rsidRPr="005C5882" w:rsidRDefault="00AE6D58" w:rsidP="006A5E53">
      <w:pPr>
        <w:spacing w:before="120" w:after="0" w:line="240" w:lineRule="auto"/>
        <w:ind w:firstLine="720"/>
        <w:jc w:val="both"/>
        <w:rPr>
          <w:b/>
          <w:szCs w:val="24"/>
          <w:lang w:val="pt-BR"/>
        </w:rPr>
      </w:pPr>
      <w:r>
        <w:rPr>
          <w:b/>
          <w:szCs w:val="24"/>
          <w:lang w:val="pt-BR"/>
        </w:rPr>
        <w:t>I. KẾT QUẢ CÔNG TÁC  QUÝ I/2022</w:t>
      </w:r>
    </w:p>
    <w:p w:rsidR="00332A78" w:rsidRDefault="005E2C96" w:rsidP="006A5E53">
      <w:pPr>
        <w:spacing w:before="120" w:after="0" w:line="240" w:lineRule="auto"/>
        <w:ind w:firstLine="720"/>
        <w:jc w:val="both"/>
        <w:rPr>
          <w:lang w:val="pt-BR"/>
        </w:rPr>
      </w:pPr>
      <w:r>
        <w:rPr>
          <w:lang w:val="pt-BR"/>
        </w:rPr>
        <w:t xml:space="preserve">1. </w:t>
      </w:r>
      <w:r w:rsidR="00332A78">
        <w:rPr>
          <w:lang w:val="pt-BR"/>
        </w:rPr>
        <w:t xml:space="preserve">Thường trực Tỉnh hội đã </w:t>
      </w:r>
      <w:r w:rsidR="007E12D7">
        <w:rPr>
          <w:lang w:val="pt-BR"/>
        </w:rPr>
        <w:t xml:space="preserve">tích cực </w:t>
      </w:r>
      <w:r w:rsidR="00332A78">
        <w:rPr>
          <w:lang w:val="pt-BR"/>
        </w:rPr>
        <w:t xml:space="preserve">tham mưu </w:t>
      </w:r>
      <w:r w:rsidR="007E12D7">
        <w:rPr>
          <w:lang w:val="pt-BR"/>
        </w:rPr>
        <w:t xml:space="preserve">với tỉnh </w:t>
      </w:r>
      <w:r w:rsidR="00332A78">
        <w:rPr>
          <w:lang w:val="pt-BR"/>
        </w:rPr>
        <w:t>và ban hành</w:t>
      </w:r>
      <w:r w:rsidR="007E12D7">
        <w:rPr>
          <w:lang w:val="pt-BR"/>
        </w:rPr>
        <w:t>:</w:t>
      </w:r>
    </w:p>
    <w:p w:rsidR="007E12D7" w:rsidRPr="00205B35" w:rsidRDefault="007E12D7" w:rsidP="006A5E53">
      <w:pPr>
        <w:spacing w:before="120" w:after="0"/>
        <w:jc w:val="both"/>
        <w:rPr>
          <w:rFonts w:cs="Times New Roman"/>
          <w:lang w:val="fr-FR"/>
        </w:rPr>
      </w:pPr>
      <w:r>
        <w:rPr>
          <w:rFonts w:cs="Times New Roman"/>
          <w:lang w:val="fr-FR"/>
        </w:rPr>
        <w:tab/>
      </w:r>
      <w:r w:rsidRPr="00205B35">
        <w:rPr>
          <w:rFonts w:cs="Times New Roman"/>
          <w:lang w:val="fr-FR"/>
        </w:rPr>
        <w:t xml:space="preserve">- </w:t>
      </w:r>
      <w:r>
        <w:rPr>
          <w:rFonts w:cs="Times New Roman"/>
          <w:lang w:val="fr-FR"/>
        </w:rPr>
        <w:t>UBND tỉnh đã Q</w:t>
      </w:r>
      <w:r w:rsidRPr="00205B35">
        <w:rPr>
          <w:rFonts w:cs="Times New Roman"/>
          <w:lang w:val="fr-FR"/>
        </w:rPr>
        <w:t>uyết đị</w:t>
      </w:r>
      <w:r>
        <w:rPr>
          <w:rFonts w:cs="Times New Roman"/>
          <w:lang w:val="fr-FR"/>
        </w:rPr>
        <w:t>nh</w:t>
      </w:r>
      <w:r w:rsidRPr="00205B35">
        <w:rPr>
          <w:rFonts w:cs="Times New Roman"/>
          <w:lang w:val="fr-FR"/>
        </w:rPr>
        <w:t xml:space="preserve"> phê duyệt Điều lệ sửa đổi bổ sung và quyết định kiện toàn Hội đồng quản l</w:t>
      </w:r>
      <w:r w:rsidR="006F4AEA">
        <w:rPr>
          <w:rFonts w:cs="Times New Roman"/>
          <w:lang w:val="fr-FR"/>
        </w:rPr>
        <w:t>í</w:t>
      </w:r>
      <w:r w:rsidRPr="00205B35">
        <w:rPr>
          <w:rFonts w:cs="Times New Roman"/>
          <w:lang w:val="fr-FR"/>
        </w:rPr>
        <w:t xml:space="preserve"> Quỹ học bổng Tô Hiệu. Hội đồng quản lí Quỹ đã ban hành các quyết định phân công nhiệm vụ cho các thành viên Hội đồng quản lí quỹ học bổng Tô Hiệu</w:t>
      </w:r>
      <w:r>
        <w:rPr>
          <w:rFonts w:cs="Times New Roman"/>
          <w:lang w:val="fr-FR"/>
        </w:rPr>
        <w:t>,</w:t>
      </w:r>
    </w:p>
    <w:p w:rsidR="007E12D7" w:rsidRPr="00205B35" w:rsidRDefault="007E12D7" w:rsidP="006A5E53">
      <w:pPr>
        <w:spacing w:before="120" w:after="0"/>
        <w:jc w:val="both"/>
        <w:rPr>
          <w:rFonts w:cs="Times New Roman"/>
        </w:rPr>
      </w:pPr>
      <w:r w:rsidRPr="00205B35">
        <w:rPr>
          <w:rFonts w:cs="Times New Roman"/>
        </w:rPr>
        <w:tab/>
        <w:t xml:space="preserve">- </w:t>
      </w:r>
      <w:r>
        <w:rPr>
          <w:rFonts w:cs="Times New Roman"/>
        </w:rPr>
        <w:t>Căn cứ ý kiến chỉ</w:t>
      </w:r>
      <w:r w:rsidR="004954C9">
        <w:rPr>
          <w:rFonts w:cs="Times New Roman"/>
        </w:rPr>
        <w:t xml:space="preserve"> </w:t>
      </w:r>
      <w:r>
        <w:rPr>
          <w:rFonts w:cs="Times New Roman"/>
        </w:rPr>
        <w:t xml:space="preserve">đạo của Sở Nội vụ, </w:t>
      </w:r>
      <w:r w:rsidR="0065129D">
        <w:rPr>
          <w:rFonts w:cs="Times New Roman"/>
        </w:rPr>
        <w:t>Thường trực Tỉnh h</w:t>
      </w:r>
      <w:r>
        <w:rPr>
          <w:rFonts w:cs="Times New Roman"/>
        </w:rPr>
        <w:t xml:space="preserve">ội đã ban hành </w:t>
      </w:r>
      <w:r w:rsidRPr="00205B35">
        <w:rPr>
          <w:rFonts w:cs="Times New Roman"/>
        </w:rPr>
        <w:t>Quyết định phê duyệ</w:t>
      </w:r>
      <w:r w:rsidR="006F4AEA">
        <w:rPr>
          <w:rFonts w:cs="Times New Roman"/>
        </w:rPr>
        <w:t>t Đ</w:t>
      </w:r>
      <w:r w:rsidRPr="00205B35">
        <w:rPr>
          <w:rFonts w:cs="Times New Roman"/>
        </w:rPr>
        <w:t>ề án vị trí làm việc của Hội Khuyến học tỉnh Sơn La</w:t>
      </w:r>
      <w:r>
        <w:rPr>
          <w:rFonts w:cs="Times New Roman"/>
        </w:rPr>
        <w:t>,</w:t>
      </w:r>
    </w:p>
    <w:p w:rsidR="00205B35" w:rsidRPr="00D1431E" w:rsidRDefault="00205B35" w:rsidP="00D1431E">
      <w:pPr>
        <w:spacing w:before="120" w:after="0" w:line="240" w:lineRule="auto"/>
        <w:ind w:firstLine="720"/>
        <w:jc w:val="both"/>
        <w:rPr>
          <w:lang w:val="pt-BR"/>
        </w:rPr>
      </w:pPr>
      <w:r w:rsidRPr="00205B35">
        <w:rPr>
          <w:rFonts w:cs="Times New Roman"/>
        </w:rPr>
        <w:t xml:space="preserve">- </w:t>
      </w:r>
      <w:r w:rsidR="00D1431E">
        <w:rPr>
          <w:rFonts w:cs="Times New Roman"/>
        </w:rPr>
        <w:t xml:space="preserve">Ban hành </w:t>
      </w:r>
      <w:r w:rsidRPr="00205B35">
        <w:rPr>
          <w:rFonts w:cs="Times New Roman"/>
        </w:rPr>
        <w:t>Quy chế làm việc củ</w:t>
      </w:r>
      <w:r w:rsidR="004954C9">
        <w:rPr>
          <w:rFonts w:cs="Times New Roman"/>
        </w:rPr>
        <w:t>a cơ quan VP T</w:t>
      </w:r>
      <w:r w:rsidRPr="00205B35">
        <w:rPr>
          <w:rFonts w:cs="Times New Roman"/>
        </w:rPr>
        <w:t>ỉnh hội,</w:t>
      </w:r>
      <w:r w:rsidR="00D1431E">
        <w:rPr>
          <w:lang w:val="pt-BR"/>
        </w:rPr>
        <w:t xml:space="preserve"> </w:t>
      </w:r>
      <w:r w:rsidRPr="00205B35">
        <w:rPr>
          <w:rFonts w:cs="Times New Roman"/>
        </w:rPr>
        <w:t xml:space="preserve">Quy chế chi tiêu nội bộ, quản lí và sử dụng tài sản nhà nước của Hội </w:t>
      </w:r>
      <w:r w:rsidR="0065129D">
        <w:rPr>
          <w:rFonts w:cs="Times New Roman"/>
        </w:rPr>
        <w:t>K</w:t>
      </w:r>
      <w:r w:rsidRPr="00205B35">
        <w:rPr>
          <w:rFonts w:cs="Times New Roman"/>
        </w:rPr>
        <w:t>huyến học tỉnh</w:t>
      </w:r>
      <w:r>
        <w:rPr>
          <w:rFonts w:cs="Times New Roman"/>
        </w:rPr>
        <w:t>,</w:t>
      </w:r>
    </w:p>
    <w:p w:rsidR="00205B35" w:rsidRPr="00D1431E" w:rsidRDefault="00205B35" w:rsidP="006A5E53">
      <w:pPr>
        <w:spacing w:before="120" w:after="0"/>
        <w:jc w:val="both"/>
        <w:rPr>
          <w:rFonts w:cs="Times New Roman"/>
        </w:rPr>
      </w:pPr>
      <w:r w:rsidRPr="00205B35">
        <w:rPr>
          <w:rFonts w:cs="Times New Roman"/>
        </w:rPr>
        <w:tab/>
        <w:t xml:space="preserve">- </w:t>
      </w:r>
      <w:r w:rsidRPr="00205B35">
        <w:rPr>
          <w:rFonts w:cs="Times New Roman"/>
          <w:szCs w:val="28"/>
        </w:rPr>
        <w:t>Quyết định b</w:t>
      </w:r>
      <w:r w:rsidRPr="00205B35">
        <w:rPr>
          <w:rFonts w:cs="Times New Roman"/>
          <w:szCs w:val="28"/>
          <w:lang w:val="vi-VN"/>
        </w:rPr>
        <w:t>an hành Qu</w:t>
      </w:r>
      <w:r w:rsidRPr="00205B35">
        <w:rPr>
          <w:rFonts w:cs="Times New Roman"/>
          <w:szCs w:val="28"/>
        </w:rPr>
        <w:t>i</w:t>
      </w:r>
      <w:r w:rsidRPr="00205B35">
        <w:rPr>
          <w:rFonts w:cs="Times New Roman"/>
          <w:szCs w:val="28"/>
          <w:lang w:val="vi-VN"/>
        </w:rPr>
        <w:t xml:space="preserve"> chế hoạt động của Ban Chấp hành, Ban Thường vụ</w:t>
      </w:r>
      <w:r w:rsidR="00D1431E">
        <w:rPr>
          <w:rFonts w:cs="Times New Roman"/>
          <w:szCs w:val="28"/>
        </w:rPr>
        <w:t>;</w:t>
      </w:r>
      <w:r w:rsidRPr="00205B35">
        <w:rPr>
          <w:rFonts w:cs="Times New Roman"/>
          <w:szCs w:val="28"/>
        </w:rPr>
        <w:t xml:space="preserve"> </w:t>
      </w:r>
      <w:r w:rsidRPr="00205B35">
        <w:rPr>
          <w:rFonts w:cs="Times New Roman"/>
          <w:lang w:val="fr-FR"/>
        </w:rPr>
        <w:t>Quyết định p</w:t>
      </w:r>
      <w:r w:rsidRPr="00205B35">
        <w:rPr>
          <w:rFonts w:eastAsia="Arial" w:cs="Times New Roman"/>
          <w:lang w:val="fr-FR"/>
        </w:rPr>
        <w:t>hân công nhiệm vụ các ủy viên Ban Chấp hành</w:t>
      </w:r>
      <w:r w:rsidRPr="00205B35">
        <w:rPr>
          <w:rFonts w:cs="Times New Roman"/>
        </w:rPr>
        <w:t xml:space="preserve"> </w:t>
      </w:r>
      <w:r w:rsidRPr="00205B35">
        <w:rPr>
          <w:rFonts w:eastAsia="Arial" w:cs="Times New Roman"/>
          <w:lang w:val="fr-FR"/>
        </w:rPr>
        <w:t>Hội Khuyến học tỉnh Sơn La khóa V, nhiệm kỳ (2021-2026</w:t>
      </w:r>
      <w:r>
        <w:rPr>
          <w:rFonts w:eastAsia="Arial" w:cs="Times New Roman"/>
          <w:lang w:val="fr-FR"/>
        </w:rPr>
        <w:t>)</w:t>
      </w:r>
      <w:r>
        <w:rPr>
          <w:rFonts w:cs="Times New Roman"/>
          <w:lang w:val="fr-FR"/>
        </w:rPr>
        <w:t>,</w:t>
      </w:r>
    </w:p>
    <w:p w:rsidR="00332A78" w:rsidRDefault="007E12D7" w:rsidP="006A5E53">
      <w:pPr>
        <w:spacing w:before="120" w:after="0"/>
        <w:jc w:val="both"/>
      </w:pPr>
      <w:r>
        <w:rPr>
          <w:rFonts w:cs="Times New Roman"/>
          <w:lang w:val="fr-FR"/>
        </w:rPr>
        <w:tab/>
      </w:r>
      <w:r w:rsidR="00FD5741" w:rsidRPr="005A7F92">
        <w:t>2</w:t>
      </w:r>
      <w:r w:rsidR="00711F90" w:rsidRPr="005A7F92">
        <w:t>.</w:t>
      </w:r>
      <w:r w:rsidR="00711F90" w:rsidRPr="003C2AF0">
        <w:t xml:space="preserve"> </w:t>
      </w:r>
      <w:r w:rsidR="00332A78">
        <w:t>Tổ chức thành công</w:t>
      </w:r>
      <w:r w:rsidR="00711F90" w:rsidRPr="003C2AF0">
        <w:t xml:space="preserve"> Hội nghị tổng kết và vinh danh </w:t>
      </w:r>
      <w:r w:rsidR="00332A78">
        <w:t xml:space="preserve">21 vị </w:t>
      </w:r>
      <w:r w:rsidR="00620B29">
        <w:t>t</w:t>
      </w:r>
      <w:r w:rsidR="00D1431E">
        <w:t xml:space="preserve">iến sỹ </w:t>
      </w:r>
      <w:r w:rsidR="00332A78">
        <w:t>được phong</w:t>
      </w:r>
      <w:r w:rsidR="00D1431E">
        <w:t xml:space="preserve"> tặng </w:t>
      </w:r>
      <w:r w:rsidR="008A4E0E">
        <w:t>năm 202</w:t>
      </w:r>
      <w:r w:rsidR="00620B29">
        <w:t>1</w:t>
      </w:r>
      <w:r w:rsidR="00332A78">
        <w:t xml:space="preserve">, </w:t>
      </w:r>
      <w:r w:rsidR="00620B29">
        <w:t>t</w:t>
      </w:r>
      <w:r w:rsidR="00D1431E">
        <w:t xml:space="preserve">ại hội nghị đã </w:t>
      </w:r>
      <w:r w:rsidR="00332A78">
        <w:t xml:space="preserve">phát động thi đua và </w:t>
      </w:r>
      <w:r w:rsidR="00332A78" w:rsidRPr="003C2AF0">
        <w:t>ký kết giao ước thi đua hoàn thành xuất sắc 10 nhiệm vụ trọng tâm năm 202</w:t>
      </w:r>
      <w:r w:rsidR="00332A78">
        <w:t>2.</w:t>
      </w:r>
      <w:r w:rsidR="004954C9">
        <w:t xml:space="preserve"> Các cấp hội tổ chức tết nguyên đán đảm bảo an toàn tiết kiệm trong mùa dịch covid.</w:t>
      </w:r>
    </w:p>
    <w:p w:rsidR="00620B29" w:rsidRDefault="00FD5741" w:rsidP="004954C9">
      <w:pPr>
        <w:spacing w:before="120" w:after="0"/>
        <w:ind w:firstLine="720"/>
        <w:jc w:val="both"/>
      </w:pPr>
      <w:r w:rsidRPr="005A7F92">
        <w:t>3</w:t>
      </w:r>
      <w:r w:rsidR="00711F90" w:rsidRPr="005A7F92">
        <w:t>.</w:t>
      </w:r>
      <w:r w:rsidR="00711F90" w:rsidRPr="003C2AF0">
        <w:t xml:space="preserve"> </w:t>
      </w:r>
      <w:r w:rsidR="005B4BD3">
        <w:t>T</w:t>
      </w:r>
      <w:r>
        <w:t>iếp tụ</w:t>
      </w:r>
      <w:r w:rsidR="00D1431E">
        <w:t xml:space="preserve">c </w:t>
      </w:r>
      <w:r>
        <w:t>đổi mới công tác tham mưu</w:t>
      </w:r>
      <w:r w:rsidR="004954C9">
        <w:t>,</w:t>
      </w:r>
      <w:r>
        <w:t xml:space="preserve"> phối hợp với Ủy ban MTTQ, Liên đoàn lao động, tổ chứ</w:t>
      </w:r>
      <w:r w:rsidR="00FA797C">
        <w:t>c Đoàn thanh niên, L</w:t>
      </w:r>
      <w:r>
        <w:t>iên hiệp hội phụ nữ, ngành giáo dụ</w:t>
      </w:r>
      <w:r w:rsidR="00BD1CF3">
        <w:t xml:space="preserve">c, </w:t>
      </w:r>
      <w:r w:rsidR="005B4BD3">
        <w:t>cơ quan</w:t>
      </w:r>
      <w:r>
        <w:t xml:space="preserve"> truyề</w:t>
      </w:r>
      <w:r w:rsidR="00BD1CF3">
        <w:t>n thông văn hóa,</w:t>
      </w:r>
      <w:r w:rsidR="005C4A02">
        <w:t xml:space="preserve"> </w:t>
      </w:r>
      <w:r w:rsidR="004954C9">
        <w:t xml:space="preserve">Báo, </w:t>
      </w:r>
      <w:r w:rsidR="005C4A02">
        <w:t>Đài đẩy mạnh</w:t>
      </w:r>
      <w:r w:rsidR="004954C9">
        <w:t xml:space="preserve"> công tác </w:t>
      </w:r>
      <w:r w:rsidR="006F4AEA">
        <w:t>t</w:t>
      </w:r>
      <w:r w:rsidR="004954C9">
        <w:t>uyên truyền vận động</w:t>
      </w:r>
      <w:r w:rsidR="005C4A02">
        <w:t xml:space="preserve"> </w:t>
      </w:r>
      <w:r w:rsidR="00BD1CF3">
        <w:t>khuyến họ</w:t>
      </w:r>
      <w:r w:rsidR="00620B29">
        <w:t xml:space="preserve">c, </w:t>
      </w:r>
      <w:r w:rsidR="00BD1CF3">
        <w:t xml:space="preserve">vận động các đảng viên, </w:t>
      </w:r>
      <w:r w:rsidR="007B2E2F">
        <w:t xml:space="preserve">gia đình đảng viên đi đầu gương mẫu trong phong trào thi đua xây dựng </w:t>
      </w:r>
      <w:r w:rsidR="00332A78">
        <w:t xml:space="preserve">các mô hình học tập </w:t>
      </w:r>
      <w:r w:rsidR="004954C9">
        <w:t>theo Q</w:t>
      </w:r>
      <w:r w:rsidR="00022E39">
        <w:t xml:space="preserve">uyết định 281 của </w:t>
      </w:r>
      <w:r w:rsidR="00901BC4">
        <w:t>Thủ tưởng</w:t>
      </w:r>
      <w:r w:rsidR="00022E39">
        <w:t xml:space="preserve">, Quyết định 448 của TW Hội, Thông tư </w:t>
      </w:r>
      <w:r w:rsidR="004954C9">
        <w:t xml:space="preserve"> </w:t>
      </w:r>
      <w:r w:rsidR="00022E39">
        <w:t>22 của bộ giáo dụ</w:t>
      </w:r>
      <w:r w:rsidR="00D1431E">
        <w:t>c.</w:t>
      </w:r>
      <w:r w:rsidR="006A5E53">
        <w:t xml:space="preserve"> </w:t>
      </w:r>
      <w:r w:rsidR="006A5E53">
        <w:rPr>
          <w:szCs w:val="28"/>
          <w:lang w:val="nl-NL"/>
        </w:rPr>
        <w:t>Quí I/2022, các cấp hội</w:t>
      </w:r>
      <w:r w:rsidR="00D1431E">
        <w:rPr>
          <w:szCs w:val="28"/>
          <w:lang w:val="nl-NL"/>
        </w:rPr>
        <w:t xml:space="preserve"> </w:t>
      </w:r>
      <w:r w:rsidR="00D1431E" w:rsidRPr="00FC1A3E">
        <w:t xml:space="preserve">toàn tỉnh </w:t>
      </w:r>
      <w:r w:rsidR="006A5E53">
        <w:rPr>
          <w:szCs w:val="28"/>
          <w:lang w:val="nl-NL"/>
        </w:rPr>
        <w:t xml:space="preserve">đã vận động </w:t>
      </w:r>
      <w:r w:rsidR="00DC61DA" w:rsidRPr="00FC1A3E">
        <w:rPr>
          <w:szCs w:val="28"/>
          <w:lang w:val="nl-NL"/>
        </w:rPr>
        <w:t xml:space="preserve">đăng ký </w:t>
      </w:r>
      <w:r w:rsidR="00DC61DA" w:rsidRPr="00FC1A3E">
        <w:t xml:space="preserve">“Gia đình học tập” đạt tỷ lệ </w:t>
      </w:r>
      <w:r w:rsidR="00FE025B" w:rsidRPr="00FC1A3E">
        <w:t>67</w:t>
      </w:r>
      <w:r w:rsidR="00DC61DA" w:rsidRPr="00FC1A3E">
        <w:t>,</w:t>
      </w:r>
      <w:r w:rsidR="00FE025B" w:rsidRPr="00FC1A3E">
        <w:t>2</w:t>
      </w:r>
      <w:r w:rsidR="00DC61DA" w:rsidRPr="00FC1A3E">
        <w:t>%</w:t>
      </w:r>
      <w:r w:rsidR="00FE025B" w:rsidRPr="00FC1A3E">
        <w:t xml:space="preserve">; “Dòng họ học tập” đạt tỷ lệ </w:t>
      </w:r>
      <w:r w:rsidR="00FC1A3E" w:rsidRPr="00FC1A3E">
        <w:t xml:space="preserve"> 65 </w:t>
      </w:r>
      <w:r w:rsidR="00FE025B" w:rsidRPr="00FC1A3E">
        <w:t xml:space="preserve">%; “Cộng đồng học tập” </w:t>
      </w:r>
      <w:r w:rsidR="00FC1A3E" w:rsidRPr="00FC1A3E">
        <w:t xml:space="preserve">tổ bản tiểu đạt tỷ lệ 68,2%;  ; “ Đơn vị học tập” cơ quan, doanh nghiệp 56.4%; “ Đơn vị học tập” các </w:t>
      </w:r>
      <w:r w:rsidR="0015166D">
        <w:t xml:space="preserve"> xã </w:t>
      </w:r>
      <w:r w:rsidR="00FC1A3E" w:rsidRPr="00FC1A3E">
        <w:t>phường</w:t>
      </w:r>
    </w:p>
    <w:p w:rsidR="006A5E53" w:rsidRPr="004954C9" w:rsidRDefault="00FC1A3E" w:rsidP="00620B29">
      <w:pPr>
        <w:spacing w:before="120" w:after="0"/>
        <w:jc w:val="both"/>
      </w:pPr>
      <w:r w:rsidRPr="00FC1A3E">
        <w:lastRenderedPageBreak/>
        <w:t xml:space="preserve"> thị trấn </w:t>
      </w:r>
      <w:r w:rsidR="0015166D">
        <w:t xml:space="preserve"> đạt </w:t>
      </w:r>
      <w:r w:rsidRPr="00FC1A3E">
        <w:t>62,5%</w:t>
      </w:r>
      <w:r w:rsidR="005B4BD3">
        <w:t>.</w:t>
      </w:r>
      <w:r w:rsidR="006A5E53">
        <w:t xml:space="preserve"> </w:t>
      </w:r>
      <w:r w:rsidR="005B4BD3">
        <w:rPr>
          <w:szCs w:val="28"/>
          <w:lang w:val="nl-NL"/>
        </w:rPr>
        <w:t>P</w:t>
      </w:r>
      <w:r w:rsidR="006A5E53">
        <w:rPr>
          <w:szCs w:val="28"/>
          <w:lang w:val="nl-NL"/>
        </w:rPr>
        <w:t>hát triển mới được 7 chi hội khuyến học với 176 hội viên</w:t>
      </w:r>
      <w:r w:rsidR="005B4BD3">
        <w:rPr>
          <w:szCs w:val="28"/>
          <w:lang w:val="nl-NL"/>
        </w:rPr>
        <w:t>.</w:t>
      </w:r>
    </w:p>
    <w:p w:rsidR="00AE6D58" w:rsidRPr="006A5E53" w:rsidRDefault="00AE6D58" w:rsidP="005B4BD3">
      <w:pPr>
        <w:spacing w:before="120" w:after="0"/>
        <w:ind w:firstLine="720"/>
        <w:jc w:val="both"/>
      </w:pPr>
      <w:r>
        <w:rPr>
          <w:szCs w:val="28"/>
          <w:lang w:val="nl-NL"/>
        </w:rPr>
        <w:t xml:space="preserve">Hội </w:t>
      </w:r>
      <w:r w:rsidR="004954C9">
        <w:rPr>
          <w:szCs w:val="28"/>
          <w:lang w:val="nl-NL"/>
        </w:rPr>
        <w:t>K</w:t>
      </w:r>
      <w:r>
        <w:rPr>
          <w:szCs w:val="28"/>
          <w:lang w:val="nl-NL"/>
        </w:rPr>
        <w:t xml:space="preserve">huyến huyện, </w:t>
      </w:r>
      <w:r w:rsidR="004954C9">
        <w:rPr>
          <w:szCs w:val="28"/>
          <w:lang w:val="nl-NL"/>
        </w:rPr>
        <w:t>TP</w:t>
      </w:r>
      <w:r>
        <w:rPr>
          <w:szCs w:val="28"/>
          <w:lang w:val="nl-NL"/>
        </w:rPr>
        <w:t xml:space="preserve"> phối hợp với phòng GD và các ngành chức năng tổ chức kiểm tra</w:t>
      </w:r>
      <w:r w:rsidR="004954C9">
        <w:rPr>
          <w:szCs w:val="28"/>
          <w:lang w:val="nl-NL"/>
        </w:rPr>
        <w:t>,</w:t>
      </w:r>
      <w:r>
        <w:rPr>
          <w:szCs w:val="28"/>
          <w:lang w:val="nl-NL"/>
        </w:rPr>
        <w:t xml:space="preserve"> đánh giá </w:t>
      </w:r>
      <w:r w:rsidR="004954C9">
        <w:rPr>
          <w:szCs w:val="28"/>
          <w:lang w:val="nl-NL"/>
        </w:rPr>
        <w:t xml:space="preserve">bình xét </w:t>
      </w:r>
      <w:r>
        <w:rPr>
          <w:szCs w:val="28"/>
          <w:lang w:val="nl-NL"/>
        </w:rPr>
        <w:t xml:space="preserve">và đề nghị UBND </w:t>
      </w:r>
      <w:r w:rsidR="004954C9">
        <w:rPr>
          <w:szCs w:val="28"/>
          <w:lang w:val="nl-NL"/>
        </w:rPr>
        <w:t>các cấp</w:t>
      </w:r>
      <w:r>
        <w:rPr>
          <w:szCs w:val="28"/>
          <w:lang w:val="nl-NL"/>
        </w:rPr>
        <w:t xml:space="preserve"> quyết định công nhận đơn vị đạt danh hiệu “ Cộng đồng học tập” năm 2021</w:t>
      </w:r>
      <w:r w:rsidR="004954C9">
        <w:rPr>
          <w:szCs w:val="28"/>
          <w:lang w:val="nl-NL"/>
        </w:rPr>
        <w:t>.</w:t>
      </w:r>
    </w:p>
    <w:p w:rsidR="00FC1A3E" w:rsidRDefault="00FE77B8" w:rsidP="006A5E53">
      <w:pPr>
        <w:spacing w:before="120" w:after="0"/>
        <w:jc w:val="both"/>
      </w:pPr>
      <w:r>
        <w:tab/>
      </w:r>
      <w:r w:rsidR="0015166D">
        <w:t>Đ</w:t>
      </w:r>
      <w:r w:rsidR="00AE6D58">
        <w:t>ơ</w:t>
      </w:r>
      <w:r w:rsidR="005B4BD3">
        <w:t>n</w:t>
      </w:r>
      <w:r w:rsidR="0015166D">
        <w:t xml:space="preserve"> vị </w:t>
      </w:r>
      <w:r w:rsidR="004954C9">
        <w:t>triển khai hiệu quả</w:t>
      </w:r>
      <w:r w:rsidR="0015166D">
        <w:t xml:space="preserve"> nhất</w:t>
      </w:r>
      <w:r w:rsidR="00FC1A3E" w:rsidRPr="00FC1A3E">
        <w:t xml:space="preserve"> là huyện Mộc Châu</w:t>
      </w:r>
      <w:r w:rsidR="006F4AEA">
        <w:t xml:space="preserve">, </w:t>
      </w:r>
      <w:r w:rsidR="00901BC4">
        <w:t>đạt</w:t>
      </w:r>
      <w:r w:rsidR="00DC61DA" w:rsidRPr="00FC1A3E">
        <w:t xml:space="preserve"> 84,7% số hộ gia đình toàn huyện; </w:t>
      </w:r>
      <w:r w:rsidR="00FC1A3E">
        <w:t>100% d</w:t>
      </w:r>
      <w:r w:rsidR="00DC61DA" w:rsidRPr="00FC1A3E">
        <w:t>òng họ</w:t>
      </w:r>
      <w:r w:rsidR="00FC1A3E">
        <w:t>,</w:t>
      </w:r>
      <w:r>
        <w:t xml:space="preserve"> tổ </w:t>
      </w:r>
      <w:r w:rsidR="00DC61DA" w:rsidRPr="00FC1A3E">
        <w:t>bả</w:t>
      </w:r>
      <w:r>
        <w:t>n</w:t>
      </w:r>
      <w:r w:rsidR="00DC61DA" w:rsidRPr="00FC1A3E">
        <w:t xml:space="preserve"> tiể</w:t>
      </w:r>
      <w:r>
        <w:t>u khu</w:t>
      </w:r>
      <w:r w:rsidR="00FC1A3E">
        <w:t>,</w:t>
      </w:r>
      <w:r>
        <w:t xml:space="preserve"> </w:t>
      </w:r>
      <w:r w:rsidR="00FC1A3E">
        <w:t>cơ quan</w:t>
      </w:r>
      <w:r w:rsidR="00DC61DA" w:rsidRPr="00FC1A3E">
        <w:t xml:space="preserve"> đơn </w:t>
      </w:r>
      <w:r w:rsidR="00FC1A3E">
        <w:t>vị doanh nghiệp, xã phường thị trấn đăng ký đạt danh hiệu học tập năm 2022</w:t>
      </w:r>
      <w:r>
        <w:t>.</w:t>
      </w:r>
    </w:p>
    <w:p w:rsidR="00FE77B8" w:rsidRDefault="00FE77B8" w:rsidP="006A5E53">
      <w:pPr>
        <w:spacing w:before="120" w:after="0"/>
        <w:jc w:val="both"/>
      </w:pPr>
      <w:r>
        <w:tab/>
      </w:r>
      <w:r w:rsidR="0015166D">
        <w:t>H</w:t>
      </w:r>
      <w:r>
        <w:t xml:space="preserve">uyện Quỳnh Nhai </w:t>
      </w:r>
      <w:r w:rsidR="0015166D">
        <w:t xml:space="preserve">là đơn vị có số hội viên thấp nhất có </w:t>
      </w:r>
      <w:r>
        <w:t>19.51% số hộ</w:t>
      </w:r>
      <w:r w:rsidR="0015166D">
        <w:t xml:space="preserve">i viên, huyện </w:t>
      </w:r>
      <w:r>
        <w:t>chưa thống kê được số liệu đang</w:t>
      </w:r>
      <w:r w:rsidR="004954C9">
        <w:t xml:space="preserve"> ký</w:t>
      </w:r>
      <w:r>
        <w:t xml:space="preserve"> gia đình, dòng họ, tổ bản…</w:t>
      </w:r>
      <w:r w:rsidR="004954C9">
        <w:t>học tập.</w:t>
      </w:r>
    </w:p>
    <w:p w:rsidR="00711F90" w:rsidRPr="003C2AF0" w:rsidRDefault="00FE77B8" w:rsidP="006A5E53">
      <w:pPr>
        <w:spacing w:before="120" w:after="0"/>
        <w:jc w:val="both"/>
      </w:pPr>
      <w:r>
        <w:tab/>
        <w:t xml:space="preserve">4. </w:t>
      </w:r>
      <w:r w:rsidR="007B2E2F">
        <w:t>Tỉnh hội b</w:t>
      </w:r>
      <w:r w:rsidR="00711F90" w:rsidRPr="003C2AF0">
        <w:t xml:space="preserve">iên soạn và xuất bản cuốn </w:t>
      </w:r>
      <w:r w:rsidR="007B2E2F">
        <w:t>Bản</w:t>
      </w:r>
      <w:r w:rsidR="00711F90" w:rsidRPr="003C2AF0">
        <w:t xml:space="preserve"> tin khuyến học số </w:t>
      </w:r>
      <w:r w:rsidR="00707B94">
        <w:t>33</w:t>
      </w:r>
      <w:r w:rsidR="00711F90" w:rsidRPr="003C2AF0">
        <w:t xml:space="preserve"> với số lượng </w:t>
      </w:r>
      <w:r w:rsidR="00200B8B">
        <w:t>7</w:t>
      </w:r>
      <w:r w:rsidR="00711F90" w:rsidRPr="003C2AF0">
        <w:t>00 cuốn, nội dung phong phú, trình bày đẹp đã phản kết quả hoạt động nổi bật</w:t>
      </w:r>
      <w:r w:rsidR="007B2E2F">
        <w:t xml:space="preserve"> của đại hộ</w:t>
      </w:r>
      <w:r>
        <w:t xml:space="preserve">i V, </w:t>
      </w:r>
      <w:r w:rsidR="00711F90" w:rsidRPr="003C2AF0">
        <w:t>gương người tốt việc tốt, gương điể</w:t>
      </w:r>
      <w:r w:rsidR="00711F90">
        <w:t>n</w:t>
      </w:r>
      <w:r w:rsidR="00711F90" w:rsidRPr="003C2AF0">
        <w:t xml:space="preserve"> hình tiên </w:t>
      </w:r>
      <w:r w:rsidR="007B2E2F">
        <w:t>biểu</w:t>
      </w:r>
      <w:r w:rsidR="00711F90" w:rsidRPr="003C2AF0">
        <w:t xml:space="preserve"> trong phong trào thi đua yêu nước  khuyến học, khuyến tài, xây dựng xã hội học tập </w:t>
      </w:r>
      <w:r w:rsidR="00200B8B">
        <w:t>giai đoạn 2016 - 2021</w:t>
      </w:r>
      <w:r w:rsidR="00711F90" w:rsidRPr="003C2AF0">
        <w:t>;  Triển khai các văn bản chỉ đạo của Đảng, Nhà nước và Chính phủ</w:t>
      </w:r>
      <w:r w:rsidR="00711F90">
        <w:t xml:space="preserve"> về</w:t>
      </w:r>
      <w:r w:rsidR="007B2E2F">
        <w:t xml:space="preserve"> </w:t>
      </w:r>
      <w:r w:rsidR="00711F90">
        <w:t>xây dựng xã hội học tập</w:t>
      </w:r>
      <w:r w:rsidR="00711F90" w:rsidRPr="003C2AF0">
        <w:t xml:space="preserve">. </w:t>
      </w:r>
      <w:r>
        <w:t xml:space="preserve">Phối hợp với </w:t>
      </w:r>
      <w:r w:rsidR="004954C9">
        <w:t>B</w:t>
      </w:r>
      <w:r w:rsidR="00AE6D58">
        <w:t xml:space="preserve">áo, Đài </w:t>
      </w:r>
      <w:r>
        <w:t xml:space="preserve">nâng cao chất lượng </w:t>
      </w:r>
      <w:r w:rsidR="00901BC4">
        <w:t>thông tin tuyên truyền về</w:t>
      </w:r>
      <w:r>
        <w:t xml:space="preserve"> khuyến học</w:t>
      </w:r>
      <w:r w:rsidR="00711F90" w:rsidRPr="003C2AF0">
        <w:t xml:space="preserve"> </w:t>
      </w:r>
      <w:r w:rsidR="00AE6D58">
        <w:t xml:space="preserve">tại cơ sở hội. </w:t>
      </w:r>
    </w:p>
    <w:p w:rsidR="00AE6D58" w:rsidRDefault="00711F90" w:rsidP="00AE6D58">
      <w:pPr>
        <w:spacing w:before="120" w:after="0"/>
        <w:ind w:firstLine="720"/>
        <w:jc w:val="both"/>
      </w:pPr>
      <w:r w:rsidRPr="003C2AF0">
        <w:t xml:space="preserve"> </w:t>
      </w:r>
      <w:r w:rsidR="00FE77B8">
        <w:t>5</w:t>
      </w:r>
      <w:r w:rsidRPr="005A7F92">
        <w:t>.</w:t>
      </w:r>
      <w:r w:rsidRPr="003C2AF0">
        <w:t xml:space="preserve"> </w:t>
      </w:r>
      <w:r w:rsidR="00FA797C">
        <w:t>C</w:t>
      </w:r>
      <w:r w:rsidR="00200B8B">
        <w:t xml:space="preserve">ác cấp </w:t>
      </w:r>
      <w:r w:rsidRPr="003C2AF0">
        <w:t xml:space="preserve">Hội Khuyến học </w:t>
      </w:r>
      <w:r w:rsidR="00200B8B">
        <w:t>từ</w:t>
      </w:r>
      <w:r w:rsidR="00326672">
        <w:t xml:space="preserve"> T</w:t>
      </w:r>
      <w:r w:rsidRPr="003C2AF0">
        <w:t xml:space="preserve">ỉnh </w:t>
      </w:r>
      <w:r w:rsidR="00200B8B">
        <w:t>đến các chi hội cơ sở</w:t>
      </w:r>
      <w:r w:rsidRPr="003C2AF0">
        <w:t xml:space="preserve"> phối hợp </w:t>
      </w:r>
      <w:r w:rsidR="00200B8B">
        <w:t xml:space="preserve">chặt chẽ </w:t>
      </w:r>
      <w:r w:rsidRPr="003C2AF0">
        <w:t>với các đoàn thể tích cực tuyên truyền vận động hội viên và nhân dân tại nơi cư trú chung tay tham gia</w:t>
      </w:r>
      <w:r>
        <w:t xml:space="preserve"> cách</w:t>
      </w:r>
      <w:r w:rsidRPr="003C2AF0">
        <w:t xml:space="preserve"> phòng chống dịch bệ</w:t>
      </w:r>
      <w:r w:rsidR="00200B8B">
        <w:t>nh COVID</w:t>
      </w:r>
      <w:r w:rsidR="00FA797C">
        <w:t xml:space="preserve"> </w:t>
      </w:r>
      <w:r w:rsidR="00200B8B">
        <w:t>- 19, đảm bảo</w:t>
      </w:r>
      <w:r w:rsidR="007010D4">
        <w:t xml:space="preserve"> “</w:t>
      </w:r>
      <w:r w:rsidR="00200B8B">
        <w:t>5 K</w:t>
      </w:r>
      <w:r w:rsidR="007010D4">
        <w:t>”</w:t>
      </w:r>
      <w:r w:rsidR="00200B8B">
        <w:t xml:space="preserve">  khi phả</w:t>
      </w:r>
      <w:r w:rsidR="001765AA">
        <w:t xml:space="preserve">i ra ngoài, </w:t>
      </w:r>
      <w:r w:rsidRPr="003C2AF0">
        <w:t xml:space="preserve">quản lý con, cháu tự học </w:t>
      </w:r>
      <w:r w:rsidR="00200B8B">
        <w:t xml:space="preserve">trực tuyến </w:t>
      </w:r>
      <w:r w:rsidRPr="003C2AF0">
        <w:t>tạ</w:t>
      </w:r>
      <w:r w:rsidR="00200B8B">
        <w:t>i nhà</w:t>
      </w:r>
      <w:r w:rsidR="00AE6D58">
        <w:t xml:space="preserve"> nghiêm túc.</w:t>
      </w:r>
    </w:p>
    <w:p w:rsidR="005A7F92" w:rsidRDefault="00FE77B8" w:rsidP="00AE6D58">
      <w:pPr>
        <w:spacing w:before="120" w:after="0"/>
        <w:ind w:firstLine="720"/>
        <w:jc w:val="both"/>
        <w:rPr>
          <w:rFonts w:cs="Times New Roman"/>
        </w:rPr>
      </w:pPr>
      <w:r>
        <w:rPr>
          <w:rFonts w:cs="Times New Roman"/>
        </w:rPr>
        <w:t>6</w:t>
      </w:r>
      <w:r w:rsidR="005A7F92">
        <w:rPr>
          <w:rFonts w:cs="Times New Roman"/>
        </w:rPr>
        <w:t>.</w:t>
      </w:r>
      <w:r w:rsidR="005A7F92" w:rsidRPr="00205B35">
        <w:rPr>
          <w:rFonts w:cs="Times New Roman"/>
        </w:rPr>
        <w:t xml:space="preserve"> Tham </w:t>
      </w:r>
      <w:r w:rsidR="005A7F92">
        <w:rPr>
          <w:rFonts w:cs="Times New Roman"/>
        </w:rPr>
        <w:t>dự</w:t>
      </w:r>
      <w:r w:rsidR="005A7F92" w:rsidRPr="00205B35">
        <w:rPr>
          <w:rFonts w:cs="Times New Roman"/>
        </w:rPr>
        <w:t xml:space="preserve"> lễ dâng hương Kỷ niệm </w:t>
      </w:r>
      <w:r w:rsidR="005A7F92">
        <w:rPr>
          <w:rFonts w:cs="Times New Roman"/>
        </w:rPr>
        <w:t xml:space="preserve">110 năm ngày sinh và </w:t>
      </w:r>
      <w:r w:rsidR="005A7F92" w:rsidRPr="00205B35">
        <w:rPr>
          <w:rFonts w:cs="Times New Roman"/>
        </w:rPr>
        <w:t>78 năm ngày mất của nhà cách mạng Tô Hiệ</w:t>
      </w:r>
      <w:r w:rsidR="004B1E9A">
        <w:rPr>
          <w:rFonts w:cs="Times New Roman"/>
        </w:rPr>
        <w:t xml:space="preserve">u, </w:t>
      </w:r>
      <w:r w:rsidR="005A7F92" w:rsidRPr="00205B35">
        <w:rPr>
          <w:rFonts w:cs="Times New Roman"/>
          <w:lang w:val="vi-VN"/>
        </w:rPr>
        <w:t xml:space="preserve">tại buổi tọa đàm “Tô Hiệu – Người Cộng sản kiên trung” </w:t>
      </w:r>
      <w:r w:rsidR="005A7F92" w:rsidRPr="00205B35">
        <w:rPr>
          <w:rFonts w:cs="Times New Roman"/>
        </w:rPr>
        <w:t xml:space="preserve"> </w:t>
      </w:r>
      <w:r w:rsidR="004B1E9A">
        <w:rPr>
          <w:rFonts w:cs="Times New Roman"/>
        </w:rPr>
        <w:t xml:space="preserve">do </w:t>
      </w:r>
      <w:r w:rsidR="005A7F92" w:rsidRPr="00205B35">
        <w:rPr>
          <w:rFonts w:cs="Times New Roman"/>
        </w:rPr>
        <w:t>Tỉnh ủy, UBND tỉnh tổ chức tại</w:t>
      </w:r>
      <w:r w:rsidR="005A7F92">
        <w:rPr>
          <w:rFonts w:cs="Times New Roman"/>
        </w:rPr>
        <w:t xml:space="preserve"> Đài </w:t>
      </w:r>
      <w:r w:rsidR="004B1E9A">
        <w:rPr>
          <w:rFonts w:cs="Times New Roman"/>
        </w:rPr>
        <w:t>Phát thanh T</w:t>
      </w:r>
      <w:r w:rsidR="005A7F92" w:rsidRPr="00205B35">
        <w:rPr>
          <w:rFonts w:cs="Times New Roman"/>
        </w:rPr>
        <w:t xml:space="preserve">ruyền hình tỉnh </w:t>
      </w:r>
      <w:r w:rsidR="005A7F92" w:rsidRPr="00205B35">
        <w:rPr>
          <w:rFonts w:cs="Times New Roman"/>
          <w:lang w:val="vi-VN"/>
        </w:rPr>
        <w:t>Hội Khuyến học tỉnh đã được</w:t>
      </w:r>
      <w:r w:rsidR="005A7F92" w:rsidRPr="00205B35">
        <w:rPr>
          <w:rFonts w:cs="Times New Roman"/>
        </w:rPr>
        <w:t xml:space="preserve"> các doanh nghiệp, nhà h</w:t>
      </w:r>
      <w:r w:rsidR="005A7F92">
        <w:rPr>
          <w:rFonts w:cs="Times New Roman"/>
        </w:rPr>
        <w:t>ảo</w:t>
      </w:r>
      <w:r w:rsidR="005A7F92" w:rsidRPr="00205B35">
        <w:rPr>
          <w:rFonts w:cs="Times New Roman"/>
        </w:rPr>
        <w:t xml:space="preserve"> tâm ủng hộ</w:t>
      </w:r>
      <w:r w:rsidR="005A7F92" w:rsidRPr="00205B35">
        <w:rPr>
          <w:rFonts w:cs="Times New Roman"/>
          <w:lang w:val="vi-VN"/>
        </w:rPr>
        <w:t xml:space="preserve"> số tiền 6.100.000.000 đồng để bổ sung vào Quỹ Học bổng Tô Hiệu</w:t>
      </w:r>
      <w:r w:rsidR="005A7F92">
        <w:rPr>
          <w:rFonts w:cs="Times New Roman"/>
        </w:rPr>
        <w:t xml:space="preserve">. </w:t>
      </w:r>
      <w:r w:rsidR="005A7F92" w:rsidRPr="00205B35">
        <w:rPr>
          <w:rFonts w:cs="Times New Roman"/>
        </w:rPr>
        <w:t xml:space="preserve">Tỉnh hội đã tiến hành </w:t>
      </w:r>
      <w:r w:rsidR="005A7F92">
        <w:rPr>
          <w:rFonts w:cs="Times New Roman"/>
        </w:rPr>
        <w:t>gửi B</w:t>
      </w:r>
      <w:r w:rsidR="005A7F92" w:rsidRPr="00205B35">
        <w:rPr>
          <w:rFonts w:cs="Times New Roman"/>
        </w:rPr>
        <w:t>ảng vàng khuyến học và thư cảm ơn đến từ</w:t>
      </w:r>
      <w:r w:rsidR="005A7F92">
        <w:rPr>
          <w:rFonts w:cs="Times New Roman"/>
        </w:rPr>
        <w:t xml:space="preserve">ng </w:t>
      </w:r>
      <w:r w:rsidR="005A7F92" w:rsidRPr="00205B35">
        <w:rPr>
          <w:rFonts w:cs="Times New Roman"/>
        </w:rPr>
        <w:t>đơn vị, nhà hảo tâm.</w:t>
      </w:r>
    </w:p>
    <w:p w:rsidR="00997263" w:rsidRDefault="00901BC4" w:rsidP="001765AA">
      <w:pPr>
        <w:spacing w:before="120" w:after="0"/>
        <w:jc w:val="both"/>
        <w:rPr>
          <w:rFonts w:cs="Times New Roman"/>
        </w:rPr>
      </w:pPr>
      <w:r>
        <w:rPr>
          <w:rFonts w:cs="Times New Roman"/>
        </w:rPr>
        <w:tab/>
      </w:r>
      <w:r w:rsidR="00FE77B8">
        <w:t>7.</w:t>
      </w:r>
      <w:r w:rsidR="006A5E53">
        <w:t xml:space="preserve"> </w:t>
      </w:r>
      <w:r w:rsidR="00412DB1" w:rsidRPr="00205B35">
        <w:rPr>
          <w:rFonts w:cs="Times New Roman"/>
        </w:rPr>
        <w:t>Ban hành văn bản</w:t>
      </w:r>
      <w:r w:rsidR="005B4BD3">
        <w:rPr>
          <w:rFonts w:cs="Times New Roman"/>
        </w:rPr>
        <w:t>,</w:t>
      </w:r>
      <w:r w:rsidR="00412DB1" w:rsidRPr="00205B35">
        <w:rPr>
          <w:rFonts w:cs="Times New Roman"/>
        </w:rPr>
        <w:t xml:space="preserve"> đôn đốc triể</w:t>
      </w:r>
      <w:r w:rsidR="00997263">
        <w:rPr>
          <w:rFonts w:cs="Times New Roman"/>
        </w:rPr>
        <w:t xml:space="preserve">n khai </w:t>
      </w:r>
      <w:r w:rsidR="00412DB1" w:rsidRPr="00205B35">
        <w:rPr>
          <w:rFonts w:cs="Times New Roman"/>
        </w:rPr>
        <w:t xml:space="preserve">việc thực hiện </w:t>
      </w:r>
      <w:r w:rsidR="00B14EF5">
        <w:rPr>
          <w:rFonts w:cs="Times New Roman"/>
        </w:rPr>
        <w:t>N</w:t>
      </w:r>
      <w:r w:rsidR="00412DB1" w:rsidRPr="00205B35">
        <w:rPr>
          <w:rFonts w:cs="Times New Roman"/>
        </w:rPr>
        <w:t xml:space="preserve">ghị quyết Đại hội V và </w:t>
      </w:r>
      <w:r w:rsidR="005B4BD3">
        <w:rPr>
          <w:rFonts w:cs="Times New Roman"/>
        </w:rPr>
        <w:t xml:space="preserve">thực hiện </w:t>
      </w:r>
      <w:r w:rsidR="00412DB1" w:rsidRPr="00205B35">
        <w:rPr>
          <w:rFonts w:cs="Times New Roman"/>
        </w:rPr>
        <w:t>10 nhiệm vụ trong tâm năm 2022.</w:t>
      </w:r>
      <w:r w:rsidR="00997263">
        <w:rPr>
          <w:rFonts w:cs="Times New Roman"/>
        </w:rPr>
        <w:t xml:space="preserve"> </w:t>
      </w:r>
      <w:r w:rsidR="00C91187">
        <w:rPr>
          <w:rFonts w:cs="Times New Roman"/>
        </w:rPr>
        <w:t xml:space="preserve">Hội Khuyến học </w:t>
      </w:r>
      <w:r w:rsidR="00412DB1">
        <w:rPr>
          <w:rFonts w:cs="Times New Roman"/>
        </w:rPr>
        <w:t xml:space="preserve">12 </w:t>
      </w:r>
      <w:r w:rsidR="00C91187">
        <w:rPr>
          <w:rFonts w:cs="Times New Roman"/>
        </w:rPr>
        <w:t xml:space="preserve">huyện, thành phố, </w:t>
      </w:r>
      <w:r w:rsidR="00412DB1">
        <w:rPr>
          <w:rFonts w:cs="Times New Roman"/>
        </w:rPr>
        <w:t xml:space="preserve">Hội Khuyến học BĐBP tỉnh, Liên hiệp hội phụ nữ tỉnh, Công an tỉnh, </w:t>
      </w:r>
      <w:r w:rsidR="006227CE">
        <w:rPr>
          <w:rFonts w:cs="Times New Roman"/>
        </w:rPr>
        <w:t>Trường Cao đẳng Y tế</w:t>
      </w:r>
      <w:r w:rsidR="00997263">
        <w:rPr>
          <w:rFonts w:cs="Times New Roman"/>
        </w:rPr>
        <w:t>, C</w:t>
      </w:r>
      <w:r w:rsidR="006227CE">
        <w:rPr>
          <w:rFonts w:cs="Times New Roman"/>
        </w:rPr>
        <w:t>ao đẳng Sơn La đã phát độ</w:t>
      </w:r>
      <w:r w:rsidR="00326672">
        <w:rPr>
          <w:rFonts w:cs="Times New Roman"/>
        </w:rPr>
        <w:t xml:space="preserve">ng và </w:t>
      </w:r>
      <w:r w:rsidR="00997263">
        <w:rPr>
          <w:rFonts w:cs="Times New Roman"/>
        </w:rPr>
        <w:t>cụ thể hóa</w:t>
      </w:r>
      <w:r w:rsidR="006227CE">
        <w:rPr>
          <w:rFonts w:cs="Times New Roman"/>
        </w:rPr>
        <w:t xml:space="preserve"> kế</w:t>
      </w:r>
      <w:r w:rsidR="004B1E9A">
        <w:rPr>
          <w:rFonts w:cs="Times New Roman"/>
        </w:rPr>
        <w:t xml:space="preserve"> hoạ</w:t>
      </w:r>
      <w:r w:rsidR="00997263">
        <w:rPr>
          <w:rFonts w:cs="Times New Roman"/>
        </w:rPr>
        <w:t>ch</w:t>
      </w:r>
      <w:r w:rsidR="00997263" w:rsidRPr="00205B35">
        <w:rPr>
          <w:rFonts w:cs="Times New Roman"/>
        </w:rPr>
        <w:t xml:space="preserve"> tổ chức cuộ</w:t>
      </w:r>
      <w:r w:rsidR="00997263">
        <w:rPr>
          <w:rFonts w:cs="Times New Roman"/>
        </w:rPr>
        <w:t xml:space="preserve">c </w:t>
      </w:r>
      <w:r w:rsidR="00997263" w:rsidRPr="00205B35">
        <w:rPr>
          <w:rFonts w:cs="Times New Roman"/>
        </w:rPr>
        <w:t>thi viế</w:t>
      </w:r>
      <w:r w:rsidR="005B4BD3">
        <w:rPr>
          <w:rFonts w:cs="Times New Roman"/>
        </w:rPr>
        <w:t>t tớ</w:t>
      </w:r>
      <w:r w:rsidR="00326672">
        <w:rPr>
          <w:rFonts w:cs="Times New Roman"/>
        </w:rPr>
        <w:t xml:space="preserve">i </w:t>
      </w:r>
      <w:r w:rsidR="005B4BD3">
        <w:rPr>
          <w:rFonts w:cs="Times New Roman"/>
        </w:rPr>
        <w:t>các chi hội khuyến học đạt hiệu quả.</w:t>
      </w:r>
      <w:r w:rsidR="00997263">
        <w:rPr>
          <w:rFonts w:cs="Times New Roman"/>
        </w:rPr>
        <w:t xml:space="preserve"> </w:t>
      </w:r>
    </w:p>
    <w:p w:rsidR="00901BC4" w:rsidRDefault="006A5E53" w:rsidP="00620B29">
      <w:pPr>
        <w:spacing w:before="120" w:after="0"/>
        <w:ind w:firstLine="720"/>
        <w:jc w:val="both"/>
      </w:pPr>
      <w:r>
        <w:t>8.</w:t>
      </w:r>
      <w:r w:rsidR="009461E0">
        <w:t xml:space="preserve"> </w:t>
      </w:r>
      <w:r w:rsidR="00997263">
        <w:t xml:space="preserve">Sau </w:t>
      </w:r>
      <w:r w:rsidR="009461E0">
        <w:t>Đ</w:t>
      </w:r>
      <w:r w:rsidR="00997263">
        <w:t>ại hội khuyến học các cấp số cán bộ khuyến học có nhiều thay đổi do vậy việc tập huấn nghiệp vụ cho cán bộ</w:t>
      </w:r>
      <w:r w:rsidR="00500F70">
        <w:t xml:space="preserve"> khuyến học</w:t>
      </w:r>
      <w:r w:rsidR="00997263">
        <w:t xml:space="preserve"> là hết </w:t>
      </w:r>
      <w:r w:rsidR="00500F70">
        <w:t xml:space="preserve">sức cần thiết vì </w:t>
      </w:r>
      <w:r w:rsidR="00997263">
        <w:t>cán bộ là nòng cốt</w:t>
      </w:r>
      <w:r w:rsidR="005B4BD3">
        <w:t>,</w:t>
      </w:r>
      <w:r w:rsidR="00997263">
        <w:t xml:space="preserve"> trụ cột củ</w:t>
      </w:r>
      <w:r w:rsidR="00326672">
        <w:t>a phong trào;</w:t>
      </w:r>
      <w:r w:rsidR="00997263">
        <w:t xml:space="preserve"> </w:t>
      </w:r>
      <w:r w:rsidR="00500F70">
        <w:t>12 huyệ</w:t>
      </w:r>
      <w:r w:rsidR="005B4BD3">
        <w:t xml:space="preserve">n, </w:t>
      </w:r>
      <w:r w:rsidR="00500F70">
        <w:t>thành phố đã phối hợp chặt trẽ với</w:t>
      </w:r>
      <w:r w:rsidR="00326672">
        <w:t xml:space="preserve"> Trung tâm C</w:t>
      </w:r>
      <w:r w:rsidR="00500F70">
        <w:t xml:space="preserve">hính trị xây dựng kế hoạch, kinh phí mở lớp. </w:t>
      </w:r>
      <w:r w:rsidR="009461E0">
        <w:t>T</w:t>
      </w:r>
      <w:r w:rsidR="00500F70">
        <w:t xml:space="preserve">rong quí 1/2022 </w:t>
      </w:r>
      <w:r w:rsidR="009461E0">
        <w:t xml:space="preserve">có 6 </w:t>
      </w:r>
      <w:r w:rsidR="00500F70">
        <w:t>đơn vị đã mở lớp</w:t>
      </w:r>
      <w:r w:rsidR="005B4BD3">
        <w:t xml:space="preserve"> tập huấn</w:t>
      </w:r>
      <w:r w:rsidR="00500F70">
        <w:t xml:space="preserve"> như Yên Châu, </w:t>
      </w:r>
      <w:r w:rsidR="009461E0">
        <w:t>t</w:t>
      </w:r>
      <w:r w:rsidR="00500F70">
        <w:t xml:space="preserve">hành phố Sơn La, Sốp Cộp, </w:t>
      </w:r>
      <w:r w:rsidR="00326672">
        <w:t>Sông Mã</w:t>
      </w:r>
      <w:r w:rsidR="00500F70">
        <w:t>,</w:t>
      </w:r>
      <w:r w:rsidR="00620B29">
        <w:t xml:space="preserve"> </w:t>
      </w:r>
      <w:r w:rsidR="00500F70">
        <w:t xml:space="preserve">Mộc </w:t>
      </w:r>
      <w:r w:rsidR="009461E0">
        <w:t>C</w:t>
      </w:r>
      <w:r w:rsidR="00500F70">
        <w:t>hâu,</w:t>
      </w:r>
      <w:r w:rsidR="00620B29">
        <w:t xml:space="preserve"> </w:t>
      </w:r>
      <w:r w:rsidR="00500F70">
        <w:t>Bắc Yên</w:t>
      </w:r>
      <w:r w:rsidR="009461E0">
        <w:t xml:space="preserve"> với tổng số 350 học viên</w:t>
      </w:r>
      <w:r w:rsidR="005B4BD3">
        <w:t>.</w:t>
      </w:r>
    </w:p>
    <w:p w:rsidR="009461E0" w:rsidRDefault="007010D4" w:rsidP="009461E0">
      <w:pPr>
        <w:spacing w:before="120" w:after="0"/>
        <w:ind w:firstLine="720"/>
        <w:jc w:val="both"/>
      </w:pPr>
      <w:r>
        <w:lastRenderedPageBreak/>
        <w:t xml:space="preserve">9. </w:t>
      </w:r>
      <w:r w:rsidR="009461E0">
        <w:t>Công tác phối hợp vớ</w:t>
      </w:r>
      <w:r w:rsidR="00326672">
        <w:t>i các T</w:t>
      </w:r>
      <w:r w:rsidR="009461E0">
        <w:t xml:space="preserve">rung tâm học tập cộng đồng học tập thực hiện các nhiệm vụ trọng tâm như </w:t>
      </w:r>
      <w:r w:rsidR="005B4BD3">
        <w:t>triển giao khoa học kỹ thuật</w:t>
      </w:r>
      <w:r w:rsidR="00DA0B21">
        <w:t xml:space="preserve">, </w:t>
      </w:r>
      <w:r w:rsidR="009461E0">
        <w:t xml:space="preserve">tuyên truyền phòng chống covid và ủng hộ những hộ </w:t>
      </w:r>
      <w:r w:rsidR="00312FC7">
        <w:t>thuộc</w:t>
      </w:r>
      <w:r w:rsidR="00326672">
        <w:t xml:space="preserve"> đối tượng người </w:t>
      </w:r>
      <w:r w:rsidR="009461E0">
        <w:t>nghèo không may mắc covid, vận động quyên góp ủng hộ những học sinh sinh viên khó khăn trong dịch bệnh. Phối hợp với các cơ quan chức năng tổ chức mở lớp học xóa mù chữ cho nhân dân: Hội Khuyến học Mộc Châu 2 lớp</w:t>
      </w:r>
      <w:r w:rsidR="00F224B4">
        <w:t xml:space="preserve"> với 81 học viên; Bộ đội biên phòng tỉnh</w:t>
      </w:r>
      <w:r w:rsidR="003F254F">
        <w:t xml:space="preserve"> </w:t>
      </w:r>
      <w:r w:rsidR="00F224B4">
        <w:t>8 lớp</w:t>
      </w:r>
      <w:r w:rsidR="003F254F">
        <w:t>,</w:t>
      </w:r>
      <w:r w:rsidR="00F224B4">
        <w:t xml:space="preserve"> có </w:t>
      </w:r>
      <w:r>
        <w:t>6 lớp đã nhiệm thu và 2 lớp đang duy tr</w:t>
      </w:r>
      <w:r w:rsidR="003F254F">
        <w:t>ì</w:t>
      </w:r>
      <w:r>
        <w:t xml:space="preserve"> với tổng số 230 học viên là phụ nữ người dân tộc thiểu số.</w:t>
      </w:r>
    </w:p>
    <w:p w:rsidR="001765AA" w:rsidRDefault="001765AA" w:rsidP="009461E0">
      <w:pPr>
        <w:spacing w:before="120" w:after="0"/>
        <w:ind w:firstLine="720"/>
        <w:jc w:val="both"/>
      </w:pPr>
      <w:r>
        <w:t xml:space="preserve">10. </w:t>
      </w:r>
      <w:r w:rsidR="00DA0B21">
        <w:t>Được sự quan tâm của lãnh đạo Tỉnh ủy, UBND tỉnh, sự vào cuộc của các cấp các ngành, các doanh nghiệp, các nhà hảo tâm trong và ngoài tỉ</w:t>
      </w:r>
      <w:r w:rsidR="003F254F">
        <w:t xml:space="preserve">nh đã ủng hộ Quỹ khuyến học, khuyến tài Sơn La </w:t>
      </w:r>
      <w:r w:rsidR="00D018A8">
        <w:t>đầu xuân năm 2022 được</w:t>
      </w:r>
      <w:r w:rsidR="003F254F">
        <w:t xml:space="preserve"> </w:t>
      </w:r>
      <w:r w:rsidR="00DA0B21">
        <w:t xml:space="preserve">6,6 tỷ đồng. </w:t>
      </w:r>
    </w:p>
    <w:p w:rsidR="00DA0B21" w:rsidRDefault="00D018A8" w:rsidP="009461E0">
      <w:pPr>
        <w:spacing w:before="120" w:after="0"/>
        <w:ind w:firstLine="720"/>
        <w:jc w:val="both"/>
      </w:pPr>
      <w:r>
        <w:t>C</w:t>
      </w:r>
      <w:r w:rsidR="00DA0B21">
        <w:t>ác cấp</w:t>
      </w:r>
      <w:r>
        <w:t xml:space="preserve"> hội</w:t>
      </w:r>
      <w:r w:rsidR="00DA0B21">
        <w:t xml:space="preserve"> đã tích cự</w:t>
      </w:r>
      <w:r>
        <w:t>c</w:t>
      </w:r>
      <w:r w:rsidR="00DA0B21">
        <w:t xml:space="preserve"> tham mưu</w:t>
      </w:r>
      <w:r>
        <w:t>,</w:t>
      </w:r>
      <w:r w:rsidR="00DA0B21">
        <w:t xml:space="preserve"> vận động và được lãnh đạo huyện quan tâm tạo điều kiện ra lời kêu gọi ủng hộ quỹ như huyện Mai Sơn, huyện Thuận Châu, huyện Phù Yên.</w:t>
      </w:r>
    </w:p>
    <w:p w:rsidR="00DA0B21" w:rsidRDefault="00DA0B21" w:rsidP="009461E0">
      <w:pPr>
        <w:spacing w:before="120" w:after="0"/>
        <w:ind w:firstLine="720"/>
        <w:jc w:val="both"/>
      </w:pPr>
      <w:r>
        <w:t>Bằng các nguồn quỹ vận động Hội Khuyến học tỉ</w:t>
      </w:r>
      <w:r w:rsidR="00BC51E8">
        <w:t>nh trong quý I</w:t>
      </w:r>
      <w:r>
        <w:t>/2022 đã khen thưởng cho 1</w:t>
      </w:r>
      <w:r w:rsidR="00AE6D58">
        <w:t>5</w:t>
      </w:r>
      <w:r>
        <w:t>6 xuất khen học sinh đạt thành tích trong học tập với tổng số tiền là trên 30 triệu đồng</w:t>
      </w:r>
      <w:r w:rsidR="003F254F">
        <w:t>.</w:t>
      </w:r>
    </w:p>
    <w:p w:rsidR="003F254F" w:rsidRDefault="00DA0B21" w:rsidP="001765AA">
      <w:pPr>
        <w:spacing w:before="120" w:after="0"/>
        <w:jc w:val="both"/>
        <w:rPr>
          <w:rFonts w:cs="Times New Roman"/>
        </w:rPr>
      </w:pPr>
      <w:r>
        <w:rPr>
          <w:rFonts w:cs="Times New Roman"/>
        </w:rPr>
        <w:tab/>
        <w:t>Nhân ngày giỗ nhà cách mạng Tô Hiệu, Hội đồng quản lý Quỹ Học bổng Tô Hiệu</w:t>
      </w:r>
      <w:r w:rsidR="001765AA">
        <w:rPr>
          <w:rFonts w:cs="Times New Roman"/>
        </w:rPr>
        <w:t xml:space="preserve"> quyết định</w:t>
      </w:r>
      <w:r w:rsidR="001765AA" w:rsidRPr="00205B35">
        <w:rPr>
          <w:rFonts w:cs="Times New Roman"/>
        </w:rPr>
        <w:t xml:space="preserve"> tặng học bổng cho 35 HS tại trườ</w:t>
      </w:r>
      <w:r w:rsidR="00D018A8">
        <w:rPr>
          <w:rFonts w:cs="Times New Roman"/>
        </w:rPr>
        <w:t xml:space="preserve">ng mang tên </w:t>
      </w:r>
      <w:r w:rsidR="001765AA" w:rsidRPr="00205B35">
        <w:rPr>
          <w:rFonts w:cs="Times New Roman"/>
        </w:rPr>
        <w:t xml:space="preserve">Tô hiệu tại thành phố </w:t>
      </w:r>
      <w:r w:rsidR="001765AA">
        <w:rPr>
          <w:rFonts w:cs="Times New Roman"/>
        </w:rPr>
        <w:t>vớ</w:t>
      </w:r>
      <w:r w:rsidR="00B46E3C">
        <w:rPr>
          <w:rFonts w:cs="Times New Roman"/>
        </w:rPr>
        <w:t xml:space="preserve">i </w:t>
      </w:r>
      <w:r w:rsidR="001765AA">
        <w:rPr>
          <w:rFonts w:cs="Times New Roman"/>
        </w:rPr>
        <w:t xml:space="preserve">tổng số tiền </w:t>
      </w:r>
      <w:r w:rsidR="001765AA" w:rsidRPr="00205B35">
        <w:rPr>
          <w:rFonts w:cs="Times New Roman"/>
        </w:rPr>
        <w:t>là 35 triệu đồ</w:t>
      </w:r>
      <w:r w:rsidR="003F254F">
        <w:rPr>
          <w:rFonts w:cs="Times New Roman"/>
        </w:rPr>
        <w:t>ng.</w:t>
      </w:r>
    </w:p>
    <w:p w:rsidR="001765AA" w:rsidRPr="00205B35" w:rsidRDefault="003F254F" w:rsidP="001765AA">
      <w:pPr>
        <w:spacing w:before="120" w:after="0"/>
        <w:jc w:val="both"/>
        <w:rPr>
          <w:rFonts w:cs="Times New Roman"/>
        </w:rPr>
      </w:pPr>
      <w:r>
        <w:rPr>
          <w:rFonts w:cs="Times New Roman"/>
        </w:rPr>
        <w:tab/>
        <w:t xml:space="preserve">Hội </w:t>
      </w:r>
      <w:r w:rsidR="00D018A8">
        <w:rPr>
          <w:rFonts w:cs="Times New Roman"/>
        </w:rPr>
        <w:t>K</w:t>
      </w:r>
      <w:r>
        <w:rPr>
          <w:rFonts w:cs="Times New Roman"/>
        </w:rPr>
        <w:t>huyến học huyện, thành phố trao thưởng tặng quà cho</w:t>
      </w:r>
      <w:r w:rsidR="00002E72">
        <w:rPr>
          <w:rFonts w:cs="Times New Roman"/>
        </w:rPr>
        <w:t xml:space="preserve"> 247</w:t>
      </w:r>
      <w:r>
        <w:rPr>
          <w:rFonts w:cs="Times New Roman"/>
        </w:rPr>
        <w:t xml:space="preserve"> </w:t>
      </w:r>
      <w:r w:rsidR="00002E72">
        <w:rPr>
          <w:rFonts w:cs="Times New Roman"/>
        </w:rPr>
        <w:t>giáo viên giỏi các hội thi, 352</w:t>
      </w:r>
      <w:r>
        <w:rPr>
          <w:rFonts w:cs="Times New Roman"/>
        </w:rPr>
        <w:t xml:space="preserve"> học sinh đạt thành tích trong học tập</w:t>
      </w:r>
      <w:r w:rsidR="001765AA" w:rsidRPr="00205B35">
        <w:rPr>
          <w:rFonts w:cs="Times New Roman"/>
        </w:rPr>
        <w:t xml:space="preserve"> </w:t>
      </w:r>
      <w:r w:rsidR="00002E72">
        <w:rPr>
          <w:rFonts w:cs="Times New Roman"/>
        </w:rPr>
        <w:t xml:space="preserve">với tổng số tiền là 192, 8 triệu đồng. </w:t>
      </w:r>
      <w:r w:rsidR="00D018A8">
        <w:rPr>
          <w:rFonts w:cs="Times New Roman"/>
        </w:rPr>
        <w:t xml:space="preserve"> </w:t>
      </w:r>
      <w:r w:rsidR="00002E72">
        <w:rPr>
          <w:rFonts w:cs="Times New Roman"/>
        </w:rPr>
        <w:t xml:space="preserve">Điển hình Hội khuyến học Mộc </w:t>
      </w:r>
      <w:r w:rsidR="00D018A8">
        <w:rPr>
          <w:rFonts w:cs="Times New Roman"/>
        </w:rPr>
        <w:t xml:space="preserve">Châu </w:t>
      </w:r>
      <w:r w:rsidR="00002E72">
        <w:rPr>
          <w:rFonts w:cs="Times New Roman"/>
        </w:rPr>
        <w:t xml:space="preserve">khen </w:t>
      </w:r>
      <w:r w:rsidR="00D018A8">
        <w:rPr>
          <w:rFonts w:cs="Times New Roman"/>
        </w:rPr>
        <w:t>149 GV</w:t>
      </w:r>
      <w:r w:rsidR="00FA4DB9">
        <w:rPr>
          <w:rFonts w:cs="Times New Roman"/>
        </w:rPr>
        <w:t xml:space="preserve"> </w:t>
      </w:r>
      <w:r w:rsidR="00D018A8">
        <w:rPr>
          <w:rFonts w:cs="Times New Roman"/>
        </w:rPr>
        <w:t>và</w:t>
      </w:r>
      <w:r w:rsidR="00002E72">
        <w:rPr>
          <w:rFonts w:cs="Times New Roman"/>
        </w:rPr>
        <w:t xml:space="preserve"> 132 học sinh, huyện Phù Yên hỗ trợ 100 xuất </w:t>
      </w:r>
      <w:r w:rsidR="00D018A8">
        <w:rPr>
          <w:rFonts w:cs="Times New Roman"/>
        </w:rPr>
        <w:t xml:space="preserve">học bổng </w:t>
      </w:r>
      <w:r w:rsidR="00002E72">
        <w:rPr>
          <w:rFonts w:cs="Times New Roman"/>
        </w:rPr>
        <w:t>cho học sinh bị ảnh hưởng covid…</w:t>
      </w:r>
    </w:p>
    <w:p w:rsidR="00D018A8" w:rsidRDefault="00711F90" w:rsidP="00D018A8">
      <w:pPr>
        <w:spacing w:before="120" w:after="0"/>
        <w:ind w:firstLine="720"/>
        <w:jc w:val="both"/>
        <w:rPr>
          <w:b/>
        </w:rPr>
      </w:pPr>
      <w:r w:rsidRPr="00AE6D58">
        <w:rPr>
          <w:b/>
        </w:rPr>
        <w:t xml:space="preserve"> </w:t>
      </w:r>
      <w:r w:rsidR="00D018A8">
        <w:rPr>
          <w:b/>
        </w:rPr>
        <w:t>KHÓ KHĂN VÀ THUẬN LỢI</w:t>
      </w:r>
    </w:p>
    <w:p w:rsidR="002E42DD" w:rsidRDefault="00D018A8" w:rsidP="00D018A8">
      <w:pPr>
        <w:spacing w:before="120" w:after="0"/>
        <w:ind w:firstLine="720"/>
        <w:jc w:val="both"/>
        <w:rPr>
          <w:b/>
        </w:rPr>
      </w:pPr>
      <w:r>
        <w:rPr>
          <w:b/>
        </w:rPr>
        <w:t xml:space="preserve">Thuận lợi: </w:t>
      </w:r>
    </w:p>
    <w:p w:rsidR="00D018A8" w:rsidRDefault="002E42DD" w:rsidP="00D018A8">
      <w:pPr>
        <w:spacing w:before="120" w:after="0"/>
        <w:ind w:firstLine="720"/>
        <w:jc w:val="both"/>
      </w:pPr>
      <w:r>
        <w:rPr>
          <w:b/>
        </w:rPr>
        <w:t xml:space="preserve">- </w:t>
      </w:r>
      <w:r w:rsidR="00D018A8" w:rsidRPr="00D018A8">
        <w:t>Sự vào cuộc của các cấp ủy đảng, chính quyền của cả h</w:t>
      </w:r>
      <w:r w:rsidR="00FA4DB9">
        <w:t>ệ</w:t>
      </w:r>
      <w:r w:rsidR="00D018A8" w:rsidRPr="00D018A8">
        <w:t xml:space="preserve"> thống chính trị</w:t>
      </w:r>
      <w:r w:rsidR="00D018A8">
        <w:t xml:space="preserve"> </w:t>
      </w:r>
      <w:r w:rsidR="00D018A8" w:rsidRPr="00D018A8">
        <w:t>trong toàn tỉnh. Sự quan tâm chăm lo</w:t>
      </w:r>
      <w:r w:rsidR="00D018A8">
        <w:t xml:space="preserve">, </w:t>
      </w:r>
      <w:r>
        <w:t xml:space="preserve">chỉ đạo và </w:t>
      </w:r>
      <w:r w:rsidR="00D018A8">
        <w:t>tạo điều kiện thuận lợ</w:t>
      </w:r>
      <w:r w:rsidR="00312FC7">
        <w:t xml:space="preserve">i </w:t>
      </w:r>
      <w:r w:rsidR="00D018A8">
        <w:t>của Tỉnh ủy, UBND tỉ</w:t>
      </w:r>
      <w:r>
        <w:t xml:space="preserve">nh đã </w:t>
      </w:r>
      <w:r w:rsidR="00D018A8">
        <w:t>rõ nét</w:t>
      </w:r>
      <w:r w:rsidR="00312FC7">
        <w:t>,</w:t>
      </w:r>
      <w:r w:rsidR="00D018A8">
        <w:t xml:space="preserve"> </w:t>
      </w:r>
      <w:r>
        <w:t xml:space="preserve">cụ thể </w:t>
      </w:r>
      <w:r w:rsidR="00D018A8">
        <w:t>hơn</w:t>
      </w:r>
      <w:r>
        <w:t>.</w:t>
      </w:r>
      <w:r w:rsidR="00D018A8">
        <w:t xml:space="preserve"> </w:t>
      </w:r>
    </w:p>
    <w:p w:rsidR="002E42DD" w:rsidRDefault="002E42DD" w:rsidP="00D018A8">
      <w:pPr>
        <w:spacing w:before="120" w:after="0"/>
        <w:ind w:firstLine="720"/>
        <w:jc w:val="both"/>
      </w:pPr>
      <w:r>
        <w:t>- Sự ủng hộ và tham gia nhiệt tình của quần chúng nhân dân các dân tộc  được thể hiện sự đoàn kết chống dịch covid vừa tích cực tham gia hoạt động hội đang ký xây dựng các mô hình học tập, đóng góp ủng hộ quỹ khuyến học, tích cực tham gia học tập suốt đời bằng nhiều hình thức phong phú, hiệu quả.</w:t>
      </w:r>
    </w:p>
    <w:p w:rsidR="002E42DD" w:rsidRDefault="002E42DD" w:rsidP="00D018A8">
      <w:pPr>
        <w:spacing w:before="120" w:after="0"/>
        <w:ind w:firstLine="720"/>
        <w:jc w:val="both"/>
        <w:rPr>
          <w:b/>
        </w:rPr>
      </w:pPr>
      <w:r w:rsidRPr="002E42DD">
        <w:rPr>
          <w:b/>
        </w:rPr>
        <w:t>Khó khăn:</w:t>
      </w:r>
    </w:p>
    <w:p w:rsidR="002E42DD" w:rsidRPr="002E42DD" w:rsidRDefault="002E42DD" w:rsidP="00533D87">
      <w:pPr>
        <w:spacing w:before="120" w:after="0"/>
        <w:ind w:firstLine="720"/>
        <w:jc w:val="both"/>
      </w:pPr>
      <w:r w:rsidRPr="002E42DD">
        <w:t xml:space="preserve">Do dịch bệnh covid bùng phát </w:t>
      </w:r>
      <w:r>
        <w:t>trên diện rộng, diễn biến phức tạp nên hoạt</w:t>
      </w:r>
      <w:r w:rsidR="00533D87">
        <w:t xml:space="preserve"> </w:t>
      </w:r>
      <w:r>
        <w:t xml:space="preserve">động của Hội gặp không ít khó khăn nhưng công tác phát triển hội, hội viên, công </w:t>
      </w:r>
      <w:r>
        <w:lastRenderedPageBreak/>
        <w:t>tác đóng góp hội phí, quỹ hội, công tác triển khai các văn bản chỉ đạo của cấp trên</w:t>
      </w:r>
      <w:r w:rsidR="00723426">
        <w:t xml:space="preserve"> như tổ chức cuộc thi viết, tổ chức tập huấn nghiệp vụ, tuyên truyền vận động đăng ký xây dựng các mô hình học tập… chủ yếu là sử dụng công nghệ </w:t>
      </w:r>
      <w:r w:rsidR="00312FC7">
        <w:t xml:space="preserve">thông tin </w:t>
      </w:r>
      <w:r w:rsidR="00723426">
        <w:t>4.0 để thực hiện do tâm lý của dân ngại tiếp xúc chỗ đông người</w:t>
      </w:r>
      <w:r w:rsidR="00312FC7">
        <w:t>.</w:t>
      </w:r>
    </w:p>
    <w:p w:rsidR="00711F90" w:rsidRPr="00AE6D58" w:rsidRDefault="004963C7" w:rsidP="00723426">
      <w:pPr>
        <w:spacing w:before="120" w:after="0"/>
        <w:ind w:firstLine="720"/>
        <w:jc w:val="both"/>
        <w:rPr>
          <w:b/>
        </w:rPr>
      </w:pPr>
      <w:r w:rsidRPr="00AE6D58">
        <w:rPr>
          <w:b/>
        </w:rPr>
        <w:t>II</w:t>
      </w:r>
      <w:r w:rsidR="00711F90" w:rsidRPr="00AE6D58">
        <w:rPr>
          <w:b/>
        </w:rPr>
        <w:t>. NHIỆM VỤ CÔNG TÁC  QUÝ II NĂM 202</w:t>
      </w:r>
      <w:r w:rsidR="001765AA" w:rsidRPr="00AE6D58">
        <w:rPr>
          <w:b/>
        </w:rPr>
        <w:t>2</w:t>
      </w:r>
    </w:p>
    <w:p w:rsidR="004F1565" w:rsidRDefault="00AE6D58" w:rsidP="00723426">
      <w:pPr>
        <w:spacing w:before="120" w:after="0"/>
        <w:ind w:firstLine="720"/>
        <w:jc w:val="both"/>
      </w:pPr>
      <w:r>
        <w:rPr>
          <w:szCs w:val="28"/>
        </w:rPr>
        <w:t xml:space="preserve">1. </w:t>
      </w:r>
      <w:r w:rsidR="004F1565">
        <w:rPr>
          <w:szCs w:val="28"/>
        </w:rPr>
        <w:t xml:space="preserve">Tiếp tục </w:t>
      </w:r>
      <w:r w:rsidR="00312FC7">
        <w:rPr>
          <w:szCs w:val="28"/>
        </w:rPr>
        <w:t>đẩy mạnh</w:t>
      </w:r>
      <w:r w:rsidR="004F1565">
        <w:rPr>
          <w:szCs w:val="28"/>
        </w:rPr>
        <w:t xml:space="preserve"> </w:t>
      </w:r>
      <w:r w:rsidR="00A432D7">
        <w:rPr>
          <w:szCs w:val="28"/>
        </w:rPr>
        <w:t>công tác tham mưu,</w:t>
      </w:r>
      <w:r w:rsidR="004F1565">
        <w:rPr>
          <w:szCs w:val="28"/>
        </w:rPr>
        <w:t xml:space="preserve"> </w:t>
      </w:r>
      <w:r>
        <w:rPr>
          <w:szCs w:val="28"/>
        </w:rPr>
        <w:t xml:space="preserve">phối hợp </w:t>
      </w:r>
      <w:r w:rsidR="004F1565" w:rsidRPr="00F01D74">
        <w:rPr>
          <w:lang w:val="vi-VN"/>
        </w:rPr>
        <w:t xml:space="preserve">tuyên truyền </w:t>
      </w:r>
      <w:r w:rsidR="004F1565">
        <w:t xml:space="preserve">vận động </w:t>
      </w:r>
      <w:r w:rsidR="004F1565">
        <w:rPr>
          <w:szCs w:val="28"/>
        </w:rPr>
        <w:t xml:space="preserve">cấp ủy, chính quyền để tổ chức, triển khai các </w:t>
      </w:r>
      <w:r>
        <w:rPr>
          <w:szCs w:val="28"/>
        </w:rPr>
        <w:t>văn bản chỉ đạo</w:t>
      </w:r>
      <w:r w:rsidR="004F1565">
        <w:rPr>
          <w:szCs w:val="28"/>
        </w:rPr>
        <w:t xml:space="preserve"> của Đảng, Nhà nước đối với khuyế</w:t>
      </w:r>
      <w:r w:rsidR="00312FC7">
        <w:rPr>
          <w:szCs w:val="28"/>
        </w:rPr>
        <w:t xml:space="preserve">n tài, </w:t>
      </w:r>
      <w:r w:rsidR="004F1565">
        <w:rPr>
          <w:szCs w:val="28"/>
        </w:rPr>
        <w:t xml:space="preserve">cụ thể là Kết luận 49 của Ban Bí thư, Kế hoạch kèm theo Quyết định 489 của Thủ tướng Chính phủ, Đề án 281 của Chính phủ về “Đẩy mạnh phong trào học tập suốt đời trong gia đình, dòng họ, cộng đồng” Quyết định 1373/QĐ-TTg ngày 30/7/2021 của Thủ tướng Chính phủ về xây dựng xã hội học tập giai đoạn 2021-2030;  Kế hoạch 162-KH/TU ngày 04/10/2019 của Tỉnh ủy Sơn La </w:t>
      </w:r>
      <w:r w:rsidR="004F1565">
        <w:t xml:space="preserve">Kế hoạch số 253/KH-UBND </w:t>
      </w:r>
      <w:r w:rsidR="004F1565">
        <w:rPr>
          <w:szCs w:val="28"/>
        </w:rPr>
        <w:t>Sơn La</w:t>
      </w:r>
      <w:r w:rsidR="00B14EF5">
        <w:t xml:space="preserve"> ngày 31/12/2019 </w:t>
      </w:r>
      <w:r w:rsidR="004F1565">
        <w:rPr>
          <w:szCs w:val="28"/>
        </w:rPr>
        <w:t xml:space="preserve">về triển khai thực hiện kết Kết luận 49-KL/TW của Ban Bí thư… </w:t>
      </w:r>
    </w:p>
    <w:p w:rsidR="00A432D7" w:rsidRDefault="00B7631A" w:rsidP="00B14EF5">
      <w:pPr>
        <w:spacing w:after="0"/>
        <w:ind w:firstLine="720"/>
        <w:jc w:val="both"/>
        <w:rPr>
          <w:szCs w:val="28"/>
        </w:rPr>
      </w:pPr>
      <w:r>
        <w:rPr>
          <w:szCs w:val="28"/>
        </w:rPr>
        <w:t>2</w:t>
      </w:r>
      <w:r w:rsidR="0047518B">
        <w:rPr>
          <w:szCs w:val="28"/>
        </w:rPr>
        <w:t>. Tiếp tục củng cố hệ thống tổ chức hội từ tỉnh đến cơ sở, phát triển tổ chức hội, hội viên chú trọng phát triển hội viên là đảng viên trong các cơ quan, doanh nghiệp, nâng cao chất lượng đội ngũ cán bộ về quản lý, tổ chức triển khai hiệu quả công tác khuyến học</w:t>
      </w:r>
      <w:r w:rsidR="00312FC7">
        <w:rPr>
          <w:szCs w:val="28"/>
        </w:rPr>
        <w:t xml:space="preserve"> </w:t>
      </w:r>
      <w:r w:rsidR="0047518B">
        <w:rPr>
          <w:szCs w:val="28"/>
        </w:rPr>
        <w:t>theo yêu cầu chuyển đổi số quốc gia. Giám sát đôn đốc có hiệu quả</w:t>
      </w:r>
      <w:r w:rsidR="00A432D7">
        <w:rPr>
          <w:szCs w:val="28"/>
        </w:rPr>
        <w:t xml:space="preserve"> </w:t>
      </w:r>
      <w:r w:rsidR="0047518B">
        <w:rPr>
          <w:szCs w:val="28"/>
        </w:rPr>
        <w:t>cuộc thi tìm hiểu về khuyến học</w:t>
      </w:r>
      <w:r w:rsidR="00312FC7">
        <w:rPr>
          <w:szCs w:val="28"/>
        </w:rPr>
        <w:t xml:space="preserve"> </w:t>
      </w:r>
      <w:r w:rsidR="00A432D7">
        <w:rPr>
          <w:szCs w:val="28"/>
        </w:rPr>
        <w:t xml:space="preserve">ở </w:t>
      </w:r>
      <w:r w:rsidR="0047518B">
        <w:rPr>
          <w:szCs w:val="28"/>
        </w:rPr>
        <w:t>các cấp</w:t>
      </w:r>
      <w:r w:rsidR="00A432D7">
        <w:rPr>
          <w:szCs w:val="28"/>
        </w:rPr>
        <w:t xml:space="preserve"> hội</w:t>
      </w:r>
      <w:r w:rsidR="0047518B">
        <w:rPr>
          <w:szCs w:val="28"/>
        </w:rPr>
        <w:t xml:space="preserve">. </w:t>
      </w:r>
      <w:r w:rsidR="00A432D7">
        <w:rPr>
          <w:szCs w:val="28"/>
        </w:rPr>
        <w:t>Triển khai có hiệu quả phong trào thi đua yêu nước từ cơ sở, tạo ra những hoạt động mới, sáng tạo, phù hợp, khuyến khích phát triển các mô hình mới, nêu cao tinh thần học tập suốt đời. Tổ chức tốt các hoạt động biểu dương, tôn vinh điển hình tiên tiến.</w:t>
      </w:r>
    </w:p>
    <w:p w:rsidR="00931E51" w:rsidRDefault="00A432D7" w:rsidP="00931E51">
      <w:pPr>
        <w:spacing w:before="120" w:after="0"/>
        <w:jc w:val="both"/>
        <w:rPr>
          <w:bCs/>
          <w:szCs w:val="28"/>
        </w:rPr>
      </w:pPr>
      <w:r>
        <w:tab/>
      </w:r>
      <w:r w:rsidR="0047518B">
        <w:rPr>
          <w:szCs w:val="28"/>
        </w:rPr>
        <w:t xml:space="preserve"> </w:t>
      </w:r>
      <w:r w:rsidR="00B7631A">
        <w:rPr>
          <w:szCs w:val="28"/>
        </w:rPr>
        <w:t>3</w:t>
      </w:r>
      <w:r w:rsidR="0047518B">
        <w:rPr>
          <w:szCs w:val="28"/>
        </w:rPr>
        <w:t>. Đẩy mạnh phong trào thi đua học tập suốt đời bằng việc làm thiết thực thông việc đang ký  xây dựng các mô hình</w:t>
      </w:r>
      <w:r w:rsidR="00931E51">
        <w:rPr>
          <w:szCs w:val="28"/>
        </w:rPr>
        <w:t>:</w:t>
      </w:r>
      <w:r w:rsidR="0047518B">
        <w:rPr>
          <w:szCs w:val="28"/>
        </w:rPr>
        <w:t xml:space="preserve">  công dân học tập,  gia đình, dòng họ, cộng đồng và đơn vị học tập, </w:t>
      </w:r>
      <w:r w:rsidR="00931E51">
        <w:rPr>
          <w:szCs w:val="28"/>
        </w:rPr>
        <w:t>theo Q</w:t>
      </w:r>
      <w:r w:rsidR="0047518B">
        <w:rPr>
          <w:szCs w:val="28"/>
        </w:rPr>
        <w:t xml:space="preserve">uyết định 281 và </w:t>
      </w:r>
      <w:r w:rsidR="0047518B">
        <w:rPr>
          <w:bCs/>
          <w:szCs w:val="28"/>
        </w:rPr>
        <w:t>Quyết định 1373/QĐ-TTg ngày 30/7/2021 của Thủ tướng Chính phủ.</w:t>
      </w:r>
      <w:r w:rsidR="00741004">
        <w:rPr>
          <w:bCs/>
          <w:szCs w:val="28"/>
        </w:rPr>
        <w:t xml:space="preserve"> Quyết định 2547</w:t>
      </w:r>
      <w:r w:rsidR="005E13F2">
        <w:rPr>
          <w:bCs/>
          <w:szCs w:val="28"/>
        </w:rPr>
        <w:t>/QĐ</w:t>
      </w:r>
      <w:r w:rsidR="00931E51">
        <w:rPr>
          <w:bCs/>
          <w:szCs w:val="28"/>
        </w:rPr>
        <w:t>-</w:t>
      </w:r>
      <w:r w:rsidR="00E652EF">
        <w:rPr>
          <w:bCs/>
          <w:szCs w:val="28"/>
        </w:rPr>
        <w:t xml:space="preserve"> </w:t>
      </w:r>
      <w:r w:rsidR="00931E51">
        <w:rPr>
          <w:bCs/>
          <w:szCs w:val="28"/>
        </w:rPr>
        <w:t>UBND</w:t>
      </w:r>
      <w:r w:rsidR="00E652EF">
        <w:rPr>
          <w:bCs/>
          <w:szCs w:val="28"/>
        </w:rPr>
        <w:t xml:space="preserve"> ngày 18/10/2021 của UBND tỉnh về ban hành Kế hoạch thực hiện Đề án” Xây dựng xã hội học tập giai đoạn 2021</w:t>
      </w:r>
      <w:r w:rsidR="00931E51">
        <w:rPr>
          <w:bCs/>
          <w:szCs w:val="28"/>
        </w:rPr>
        <w:t>-</w:t>
      </w:r>
      <w:r w:rsidR="00E652EF">
        <w:rPr>
          <w:bCs/>
          <w:szCs w:val="28"/>
        </w:rPr>
        <w:t xml:space="preserve"> 2030” trên địa bàn tỉnh Sơn La</w:t>
      </w:r>
      <w:r w:rsidR="00931E51">
        <w:rPr>
          <w:bCs/>
          <w:szCs w:val="28"/>
        </w:rPr>
        <w:t>.</w:t>
      </w:r>
    </w:p>
    <w:p w:rsidR="0047518B" w:rsidRPr="00931E51" w:rsidRDefault="00931E51" w:rsidP="00931E51">
      <w:pPr>
        <w:spacing w:before="120" w:after="0"/>
        <w:jc w:val="both"/>
        <w:rPr>
          <w:bCs/>
          <w:szCs w:val="28"/>
        </w:rPr>
      </w:pPr>
      <w:r>
        <w:rPr>
          <w:bCs/>
          <w:szCs w:val="28"/>
        </w:rPr>
        <w:tab/>
      </w:r>
      <w:r w:rsidR="0047518B">
        <w:rPr>
          <w:szCs w:val="28"/>
        </w:rPr>
        <w:t xml:space="preserve"> </w:t>
      </w:r>
      <w:r w:rsidR="00B7631A">
        <w:rPr>
          <w:szCs w:val="28"/>
        </w:rPr>
        <w:t>4.</w:t>
      </w:r>
      <w:r w:rsidR="0047518B">
        <w:rPr>
          <w:szCs w:val="28"/>
        </w:rPr>
        <w:t xml:space="preserve"> Tiếp tục xây dựng kế hoạch phối hợp công tác khuyến học với các Sở, Ban, Ngành, Đoàn thể, các tổ chức Chính trị - xã hội , đặc biệt vớ</w:t>
      </w:r>
      <w:r w:rsidR="00E652EF">
        <w:rPr>
          <w:szCs w:val="28"/>
        </w:rPr>
        <w:t>i Báo Sơn L</w:t>
      </w:r>
      <w:r w:rsidR="0047518B">
        <w:rPr>
          <w:szCs w:val="28"/>
        </w:rPr>
        <w:t>a, Đài Phát thanh truyền hình để phát triển các tổ chức khuyến học, xây dựng và phát triển các đơn vị học tập ngày càng hiệu quả, chất lượng hơn.</w:t>
      </w:r>
    </w:p>
    <w:p w:rsidR="00A432D7" w:rsidRPr="00931E51" w:rsidRDefault="00931E51" w:rsidP="00931E51">
      <w:pPr>
        <w:shd w:val="clear" w:color="auto" w:fill="FFFFFF"/>
        <w:spacing w:before="120" w:after="0" w:line="240" w:lineRule="auto"/>
        <w:jc w:val="both"/>
        <w:textAlignment w:val="baseline"/>
        <w:rPr>
          <w:rFonts w:eastAsia="Times New Roman"/>
          <w:color w:val="151820"/>
          <w:szCs w:val="28"/>
        </w:rPr>
      </w:pPr>
      <w:r>
        <w:rPr>
          <w:szCs w:val="28"/>
        </w:rPr>
        <w:tab/>
      </w:r>
      <w:r w:rsidR="00E652EF">
        <w:rPr>
          <w:szCs w:val="28"/>
        </w:rPr>
        <w:t>Tổ chức ký kết văn bản phối hợp hoạt động khuyến học</w:t>
      </w:r>
      <w:r>
        <w:rPr>
          <w:szCs w:val="28"/>
        </w:rPr>
        <w:t xml:space="preserve"> </w:t>
      </w:r>
      <w:r w:rsidR="00B7631A">
        <w:rPr>
          <w:szCs w:val="28"/>
        </w:rPr>
        <w:t xml:space="preserve">giữa Hội Khuyến học tỉnh với </w:t>
      </w:r>
      <w:r w:rsidR="00E652EF">
        <w:rPr>
          <w:szCs w:val="28"/>
        </w:rPr>
        <w:t xml:space="preserve"> với Sở GD &amp; ĐT tỉnh</w:t>
      </w:r>
      <w:r w:rsidR="00B7631A">
        <w:rPr>
          <w:szCs w:val="28"/>
        </w:rPr>
        <w:t xml:space="preserve"> </w:t>
      </w:r>
      <w:r w:rsidR="00B7631A" w:rsidRPr="00B7631A">
        <w:rPr>
          <w:rFonts w:eastAsia="Times New Roman"/>
          <w:color w:val="151820"/>
          <w:szCs w:val="28"/>
        </w:rPr>
        <w:t>giai đoạn</w:t>
      </w:r>
      <w:r>
        <w:rPr>
          <w:rFonts w:eastAsia="Times New Roman"/>
          <w:color w:val="151820"/>
          <w:szCs w:val="28"/>
        </w:rPr>
        <w:t xml:space="preserve"> </w:t>
      </w:r>
      <w:r w:rsidR="00B7631A" w:rsidRPr="00B7631A">
        <w:rPr>
          <w:rFonts w:eastAsia="Times New Roman"/>
          <w:color w:val="151820"/>
          <w:szCs w:val="28"/>
        </w:rPr>
        <w:t>2021-2030</w:t>
      </w:r>
      <w:r w:rsidR="00A432D7">
        <w:rPr>
          <w:rFonts w:eastAsia="Times New Roman"/>
          <w:color w:val="151820"/>
          <w:szCs w:val="28"/>
        </w:rPr>
        <w:t xml:space="preserve"> và triển khai nhiệm vụ năm 2022.</w:t>
      </w:r>
    </w:p>
    <w:p w:rsidR="00711F90" w:rsidRPr="00A432D7" w:rsidRDefault="00A432D7" w:rsidP="00A432D7">
      <w:pPr>
        <w:shd w:val="clear" w:color="auto" w:fill="FFFFFF"/>
        <w:spacing w:before="120" w:after="0" w:line="240" w:lineRule="auto"/>
        <w:jc w:val="both"/>
        <w:textAlignment w:val="baseline"/>
        <w:rPr>
          <w:spacing w:val="-6"/>
        </w:rPr>
      </w:pPr>
      <w:r>
        <w:rPr>
          <w:rFonts w:eastAsia="Times New Roman"/>
          <w:b/>
          <w:color w:val="151820"/>
          <w:szCs w:val="28"/>
        </w:rPr>
        <w:tab/>
      </w:r>
      <w:r w:rsidR="00723426">
        <w:t xml:space="preserve">6. </w:t>
      </w:r>
      <w:r w:rsidR="00711F90">
        <w:t>Tiếp tục tổ chức bồi dưỡng nghiệp vụ</w:t>
      </w:r>
      <w:r>
        <w:t xml:space="preserve"> cho cán bộ khuyến học cơ sở</w:t>
      </w:r>
      <w:r w:rsidR="00711F90">
        <w:t xml:space="preserve">. </w:t>
      </w:r>
      <w:r w:rsidRPr="00A432D7">
        <w:t xml:space="preserve">Đẩy </w:t>
      </w:r>
      <w:r w:rsidR="00711F90" w:rsidRPr="00A432D7">
        <w:t>mạnh vận động thu Hội phí; tổ chức quản lý thu, chi đúng qui định của Hội.</w:t>
      </w:r>
      <w:r>
        <w:rPr>
          <w:spacing w:val="-6"/>
        </w:rPr>
        <w:t xml:space="preserve"> </w:t>
      </w:r>
      <w:r w:rsidR="00711F90" w:rsidRPr="00F01D74">
        <w:t xml:space="preserve">Tiếp tục vận động xây dựng phát triển Quỹ Khuyến học của các </w:t>
      </w:r>
      <w:r w:rsidR="00711F90">
        <w:t xml:space="preserve">cấp hội, tăng về số dư. </w:t>
      </w:r>
      <w:r w:rsidR="00711F90">
        <w:lastRenderedPageBreak/>
        <w:t xml:space="preserve">Tổ chức </w:t>
      </w:r>
      <w:r w:rsidR="00711F90" w:rsidRPr="00F01D74">
        <w:t>quản lý sử dụng quỹ</w:t>
      </w:r>
      <w:r w:rsidR="00711F90">
        <w:t xml:space="preserve"> theo đúng quy định, minh bạch, hiệu quả; có tác dụng động viên khuyến khích việc học tập thường xuyên, học tập suốt đời trong xã hội.</w:t>
      </w:r>
      <w:r w:rsidR="00931E51">
        <w:t xml:space="preserve"> </w:t>
      </w:r>
      <w:r>
        <w:rPr>
          <w:szCs w:val="24"/>
        </w:rPr>
        <w:t>Tổ chức hội nghị sơ kết 6 tháng đầu năm 2022</w:t>
      </w:r>
      <w:r w:rsidR="00931E51">
        <w:rPr>
          <w:szCs w:val="24"/>
        </w:rPr>
        <w:t>.</w:t>
      </w:r>
    </w:p>
    <w:p w:rsidR="00711F90" w:rsidRDefault="00711F90" w:rsidP="00B14EF5">
      <w:pPr>
        <w:spacing w:before="120" w:after="0"/>
        <w:ind w:firstLine="720"/>
        <w:jc w:val="both"/>
        <w:rPr>
          <w:lang w:val="nl-NL"/>
        </w:rPr>
      </w:pPr>
      <w:r w:rsidRPr="00E57259">
        <w:rPr>
          <w:lang w:val="nl-NL"/>
        </w:rPr>
        <w:t>Trên đây là kết quả công tác</w:t>
      </w:r>
      <w:r>
        <w:rPr>
          <w:lang w:val="nl-NL"/>
        </w:rPr>
        <w:t xml:space="preserve"> quý</w:t>
      </w:r>
      <w:r w:rsidRPr="00E57259">
        <w:rPr>
          <w:lang w:val="nl-NL"/>
        </w:rPr>
        <w:t xml:space="preserve"> </w:t>
      </w:r>
      <w:r>
        <w:rPr>
          <w:lang w:val="nl-NL"/>
        </w:rPr>
        <w:t>I</w:t>
      </w:r>
      <w:r w:rsidRPr="00E57259">
        <w:rPr>
          <w:lang w:val="nl-NL"/>
        </w:rPr>
        <w:t xml:space="preserve"> và nhiệm</w:t>
      </w:r>
      <w:r>
        <w:rPr>
          <w:lang w:val="nl-NL"/>
        </w:rPr>
        <w:t xml:space="preserve"> trọng tâm </w:t>
      </w:r>
      <w:r w:rsidRPr="00E57259">
        <w:rPr>
          <w:lang w:val="nl-NL"/>
        </w:rPr>
        <w:t>công tác</w:t>
      </w:r>
      <w:r>
        <w:rPr>
          <w:lang w:val="nl-NL"/>
        </w:rPr>
        <w:t xml:space="preserve"> khuyến học</w:t>
      </w:r>
      <w:r w:rsidR="00A432D7">
        <w:rPr>
          <w:lang w:val="nl-NL"/>
        </w:rPr>
        <w:t xml:space="preserve"> </w:t>
      </w:r>
      <w:r w:rsidR="00931E51">
        <w:rPr>
          <w:lang w:val="nl-NL"/>
        </w:rPr>
        <w:t xml:space="preserve">quý II năm </w:t>
      </w:r>
      <w:r w:rsidRPr="00E57259">
        <w:rPr>
          <w:lang w:val="nl-NL"/>
        </w:rPr>
        <w:t>20</w:t>
      </w:r>
      <w:r>
        <w:rPr>
          <w:lang w:val="nl-NL"/>
        </w:rPr>
        <w:t>2</w:t>
      </w:r>
      <w:r w:rsidR="00FA4DB9">
        <w:rPr>
          <w:lang w:val="nl-NL"/>
        </w:rPr>
        <w:t>2</w:t>
      </w:r>
      <w:r w:rsidRPr="00E57259">
        <w:rPr>
          <w:lang w:val="nl-NL"/>
        </w:rPr>
        <w:t xml:space="preserve"> của </w:t>
      </w:r>
      <w:r w:rsidR="00931E51">
        <w:rPr>
          <w:lang w:val="nl-NL"/>
        </w:rPr>
        <w:t>Hội K</w:t>
      </w:r>
      <w:r w:rsidRPr="00E57259">
        <w:rPr>
          <w:lang w:val="nl-NL"/>
        </w:rPr>
        <w:t xml:space="preserve">huyến học tỉnh Sơn La. </w:t>
      </w:r>
    </w:p>
    <w:p w:rsidR="00B14EF5" w:rsidRPr="00E57259" w:rsidRDefault="00B14EF5" w:rsidP="00B14EF5">
      <w:pPr>
        <w:spacing w:after="0"/>
        <w:ind w:firstLine="720"/>
        <w:jc w:val="both"/>
        <w:rPr>
          <w:lang w:val="nl-NL"/>
        </w:rPr>
      </w:pPr>
    </w:p>
    <w:tbl>
      <w:tblPr>
        <w:tblW w:w="9606" w:type="dxa"/>
        <w:tblLook w:val="01E0" w:firstRow="1" w:lastRow="1" w:firstColumn="1" w:lastColumn="1" w:noHBand="0" w:noVBand="0"/>
      </w:tblPr>
      <w:tblGrid>
        <w:gridCol w:w="4731"/>
        <w:gridCol w:w="4875"/>
      </w:tblGrid>
      <w:tr w:rsidR="00711F90" w:rsidRPr="00A33E52" w:rsidTr="00B14EF5">
        <w:tc>
          <w:tcPr>
            <w:tcW w:w="4731" w:type="dxa"/>
          </w:tcPr>
          <w:p w:rsidR="00711F90" w:rsidRDefault="00711F90" w:rsidP="00B14EF5">
            <w:pPr>
              <w:spacing w:after="0"/>
              <w:jc w:val="both"/>
              <w:rPr>
                <w:b/>
                <w:i/>
                <w:sz w:val="24"/>
                <w:lang w:val="nl-NL"/>
              </w:rPr>
            </w:pPr>
            <w:r w:rsidRPr="00B03F8D">
              <w:rPr>
                <w:b/>
                <w:i/>
                <w:sz w:val="24"/>
                <w:lang w:val="nl-NL"/>
              </w:rPr>
              <w:t>Nơi nhận:</w:t>
            </w:r>
          </w:p>
          <w:p w:rsidR="00711F90" w:rsidRPr="00533D87" w:rsidRDefault="00711F90" w:rsidP="00B14EF5">
            <w:pPr>
              <w:spacing w:after="0"/>
              <w:jc w:val="both"/>
              <w:rPr>
                <w:i/>
                <w:sz w:val="24"/>
                <w:lang w:val="nl-NL"/>
              </w:rPr>
            </w:pPr>
            <w:r w:rsidRPr="00533D87">
              <w:rPr>
                <w:i/>
                <w:sz w:val="24"/>
                <w:lang w:val="nl-NL"/>
              </w:rPr>
              <w:t xml:space="preserve">       - TT Hội Khuyến học Việt Nam;</w:t>
            </w:r>
          </w:p>
          <w:p w:rsidR="00711F90" w:rsidRPr="00533D87" w:rsidRDefault="00711F90" w:rsidP="00B14EF5">
            <w:pPr>
              <w:spacing w:after="0"/>
              <w:ind w:firstLine="420"/>
              <w:jc w:val="both"/>
              <w:rPr>
                <w:i/>
                <w:sz w:val="22"/>
                <w:lang w:val="nl-NL"/>
              </w:rPr>
            </w:pPr>
            <w:r w:rsidRPr="00533D87">
              <w:rPr>
                <w:i/>
                <w:sz w:val="22"/>
                <w:lang w:val="nl-NL"/>
              </w:rPr>
              <w:t>- TT Tỉnh uỷ, HĐND, UBND tỉnh;</w:t>
            </w:r>
          </w:p>
          <w:p w:rsidR="00711F90" w:rsidRPr="00533D87" w:rsidRDefault="00711F90" w:rsidP="00B14EF5">
            <w:pPr>
              <w:spacing w:after="0"/>
              <w:ind w:firstLine="420"/>
              <w:jc w:val="both"/>
              <w:rPr>
                <w:i/>
                <w:sz w:val="22"/>
                <w:lang w:val="nl-NL"/>
              </w:rPr>
            </w:pPr>
            <w:r w:rsidRPr="00533D87">
              <w:rPr>
                <w:i/>
                <w:sz w:val="22"/>
                <w:lang w:val="nl-NL"/>
              </w:rPr>
              <w:t>- Ban Tuyên giáo, Ban Dân vận tỉnh uỷ;</w:t>
            </w:r>
          </w:p>
          <w:p w:rsidR="00711F90" w:rsidRPr="00533D87" w:rsidRDefault="00711F90" w:rsidP="00B14EF5">
            <w:pPr>
              <w:spacing w:after="0"/>
              <w:ind w:firstLine="420"/>
              <w:jc w:val="both"/>
              <w:rPr>
                <w:i/>
                <w:sz w:val="22"/>
                <w:lang w:val="nl-NL"/>
              </w:rPr>
            </w:pPr>
            <w:r w:rsidRPr="00533D87">
              <w:rPr>
                <w:i/>
                <w:sz w:val="22"/>
                <w:lang w:val="nl-NL"/>
              </w:rPr>
              <w:t>- UB MTTQVN tỉnh;</w:t>
            </w:r>
          </w:p>
          <w:p w:rsidR="00711F90" w:rsidRPr="00533D87" w:rsidRDefault="00711F90" w:rsidP="00B14EF5">
            <w:pPr>
              <w:spacing w:after="0"/>
              <w:ind w:firstLine="420"/>
              <w:jc w:val="both"/>
              <w:rPr>
                <w:i/>
                <w:sz w:val="22"/>
                <w:lang w:val="nl-NL"/>
              </w:rPr>
            </w:pPr>
            <w:r w:rsidRPr="00533D87">
              <w:rPr>
                <w:i/>
                <w:sz w:val="22"/>
                <w:lang w:val="nl-NL"/>
              </w:rPr>
              <w:t xml:space="preserve">- Sở Nội vụ; </w:t>
            </w:r>
          </w:p>
          <w:p w:rsidR="00711F90" w:rsidRPr="00533D87" w:rsidRDefault="00711F90" w:rsidP="00B14EF5">
            <w:pPr>
              <w:spacing w:after="0"/>
              <w:ind w:firstLine="420"/>
              <w:jc w:val="both"/>
              <w:rPr>
                <w:i/>
                <w:sz w:val="22"/>
                <w:lang w:val="nl-NL"/>
              </w:rPr>
            </w:pPr>
            <w:r w:rsidRPr="00533D87">
              <w:rPr>
                <w:i/>
                <w:sz w:val="22"/>
                <w:lang w:val="nl-NL"/>
              </w:rPr>
              <w:t>- Ban TĐ KT tỉnh;</w:t>
            </w:r>
          </w:p>
          <w:p w:rsidR="00711F90" w:rsidRPr="00533D87" w:rsidRDefault="00711F90" w:rsidP="00B14EF5">
            <w:pPr>
              <w:spacing w:after="0"/>
              <w:ind w:firstLine="420"/>
              <w:jc w:val="both"/>
              <w:rPr>
                <w:i/>
                <w:sz w:val="22"/>
                <w:lang w:val="nl-NL"/>
              </w:rPr>
            </w:pPr>
            <w:r w:rsidRPr="00533D87">
              <w:rPr>
                <w:i/>
                <w:sz w:val="22"/>
                <w:lang w:val="nl-NL"/>
              </w:rPr>
              <w:t>- Các đồng chí Ủy viên BCH Tỉnh hội;</w:t>
            </w:r>
          </w:p>
          <w:p w:rsidR="00711F90" w:rsidRPr="00533D87" w:rsidRDefault="00711F90" w:rsidP="00B14EF5">
            <w:pPr>
              <w:spacing w:after="0"/>
              <w:ind w:firstLine="420"/>
              <w:jc w:val="both"/>
              <w:rPr>
                <w:i/>
                <w:sz w:val="22"/>
                <w:lang w:val="nl-NL"/>
              </w:rPr>
            </w:pPr>
            <w:r w:rsidRPr="00533D87">
              <w:rPr>
                <w:i/>
                <w:sz w:val="22"/>
                <w:lang w:val="nl-NL"/>
              </w:rPr>
              <w:t>- TT Hội Khuyến học các huyện, thành phố, các Ban Khuy</w:t>
            </w:r>
            <w:r w:rsidR="00B14EF5" w:rsidRPr="00533D87">
              <w:rPr>
                <w:i/>
                <w:sz w:val="22"/>
                <w:lang w:val="nl-NL"/>
              </w:rPr>
              <w:t>ế</w:t>
            </w:r>
            <w:r w:rsidRPr="00533D87">
              <w:rPr>
                <w:i/>
                <w:sz w:val="22"/>
                <w:lang w:val="nl-NL"/>
              </w:rPr>
              <w:t>n học trực thuộc</w:t>
            </w:r>
          </w:p>
          <w:p w:rsidR="00711F90" w:rsidRPr="00A33E52" w:rsidRDefault="00711F90" w:rsidP="00B14EF5">
            <w:pPr>
              <w:spacing w:after="0"/>
              <w:ind w:firstLine="420"/>
              <w:jc w:val="both"/>
              <w:rPr>
                <w:b/>
                <w:u w:val="single"/>
              </w:rPr>
            </w:pPr>
            <w:r w:rsidRPr="00533D87">
              <w:rPr>
                <w:i/>
                <w:sz w:val="22"/>
              </w:rPr>
              <w:t>- Lưu VP Hội.</w:t>
            </w:r>
          </w:p>
        </w:tc>
        <w:tc>
          <w:tcPr>
            <w:tcW w:w="4875" w:type="dxa"/>
          </w:tcPr>
          <w:p w:rsidR="00711F90" w:rsidRPr="00A33E52" w:rsidRDefault="00711F90" w:rsidP="00B14EF5">
            <w:pPr>
              <w:spacing w:after="0"/>
              <w:jc w:val="center"/>
              <w:rPr>
                <w:b/>
                <w:sz w:val="26"/>
              </w:rPr>
            </w:pPr>
            <w:r w:rsidRPr="00A33E52">
              <w:rPr>
                <w:b/>
                <w:sz w:val="26"/>
              </w:rPr>
              <w:t>TM. BAN THƯỜNG VỤ</w:t>
            </w:r>
            <w:r>
              <w:rPr>
                <w:b/>
                <w:sz w:val="26"/>
              </w:rPr>
              <w:t xml:space="preserve"> </w:t>
            </w:r>
          </w:p>
          <w:p w:rsidR="00711F90" w:rsidRDefault="00711F90" w:rsidP="00B14EF5">
            <w:pPr>
              <w:spacing w:after="0"/>
              <w:jc w:val="center"/>
              <w:rPr>
                <w:b/>
                <w:sz w:val="26"/>
              </w:rPr>
            </w:pPr>
            <w:r w:rsidRPr="00A33E52">
              <w:rPr>
                <w:b/>
                <w:sz w:val="26"/>
              </w:rPr>
              <w:t>CHỦ TỊCH</w:t>
            </w:r>
          </w:p>
          <w:p w:rsidR="00711F90" w:rsidRPr="00A33E52" w:rsidRDefault="00711F90" w:rsidP="00B14EF5">
            <w:pPr>
              <w:spacing w:after="0"/>
              <w:jc w:val="center"/>
              <w:rPr>
                <w:b/>
                <w:sz w:val="26"/>
              </w:rPr>
            </w:pPr>
          </w:p>
          <w:p w:rsidR="00711F90" w:rsidRPr="00A33E52" w:rsidRDefault="00711F90" w:rsidP="00B14EF5">
            <w:pPr>
              <w:spacing w:after="0"/>
              <w:jc w:val="center"/>
            </w:pPr>
          </w:p>
          <w:p w:rsidR="00711F90" w:rsidRPr="00A33E52" w:rsidRDefault="00711F90" w:rsidP="00B14EF5">
            <w:pPr>
              <w:spacing w:after="0"/>
              <w:jc w:val="center"/>
            </w:pPr>
          </w:p>
          <w:p w:rsidR="00711F90" w:rsidRDefault="00711F90" w:rsidP="00B14EF5">
            <w:pPr>
              <w:spacing w:after="0"/>
              <w:jc w:val="center"/>
            </w:pPr>
          </w:p>
          <w:p w:rsidR="00711F90" w:rsidRDefault="00711F90" w:rsidP="00B14EF5">
            <w:pPr>
              <w:spacing w:after="0"/>
              <w:jc w:val="center"/>
              <w:rPr>
                <w:b/>
              </w:rPr>
            </w:pPr>
            <w:r>
              <w:rPr>
                <w:b/>
              </w:rPr>
              <w:t xml:space="preserve">       </w:t>
            </w:r>
          </w:p>
          <w:p w:rsidR="00711F90" w:rsidRPr="00A33E52" w:rsidRDefault="00711F90" w:rsidP="00B14EF5">
            <w:pPr>
              <w:spacing w:after="0"/>
              <w:jc w:val="center"/>
              <w:rPr>
                <w:b/>
              </w:rPr>
            </w:pPr>
            <w:r>
              <w:rPr>
                <w:b/>
              </w:rPr>
              <w:t xml:space="preserve"> </w:t>
            </w:r>
          </w:p>
        </w:tc>
      </w:tr>
    </w:tbl>
    <w:p w:rsidR="003D6DD3" w:rsidRDefault="003D6DD3" w:rsidP="00B14EF5">
      <w:pPr>
        <w:spacing w:after="0" w:line="240" w:lineRule="auto"/>
        <w:ind w:firstLine="720"/>
        <w:jc w:val="both"/>
        <w:rPr>
          <w:lang w:val="pt-BR"/>
        </w:rPr>
      </w:pPr>
    </w:p>
    <w:p w:rsidR="003D6DD3" w:rsidRDefault="003D6DD3" w:rsidP="00100BDB">
      <w:pPr>
        <w:spacing w:before="120" w:after="120" w:line="240" w:lineRule="auto"/>
        <w:ind w:firstLine="720"/>
        <w:jc w:val="both"/>
        <w:rPr>
          <w:lang w:val="pt-BR"/>
        </w:rPr>
      </w:pPr>
    </w:p>
    <w:p w:rsidR="005B4BD3" w:rsidRDefault="005B4BD3" w:rsidP="00100BDB">
      <w:pPr>
        <w:spacing w:before="120" w:after="120" w:line="240" w:lineRule="auto"/>
        <w:ind w:firstLine="720"/>
        <w:jc w:val="both"/>
        <w:rPr>
          <w:lang w:val="pt-BR"/>
        </w:rPr>
      </w:pPr>
    </w:p>
    <w:p w:rsidR="005B4BD3" w:rsidRDefault="005B4BD3" w:rsidP="00100BDB">
      <w:pPr>
        <w:spacing w:before="120" w:after="120" w:line="240" w:lineRule="auto"/>
        <w:ind w:firstLine="720"/>
        <w:jc w:val="both"/>
        <w:rPr>
          <w:lang w:val="pt-BR"/>
        </w:rPr>
      </w:pPr>
    </w:p>
    <w:p w:rsidR="005B4BD3" w:rsidRDefault="005B4BD3" w:rsidP="00100BDB">
      <w:pPr>
        <w:spacing w:before="120" w:after="120" w:line="240" w:lineRule="auto"/>
        <w:ind w:firstLine="720"/>
        <w:jc w:val="both"/>
        <w:rPr>
          <w:lang w:val="pt-BR"/>
        </w:rPr>
      </w:pPr>
    </w:p>
    <w:sectPr w:rsidR="005B4BD3" w:rsidSect="00723426">
      <w:headerReference w:type="default" r:id="rId8"/>
      <w:footerReference w:type="even" r:id="rId9"/>
      <w:pgSz w:w="11907" w:h="16840" w:code="9"/>
      <w:pgMar w:top="907" w:right="850" w:bottom="90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09E" w:rsidRDefault="0014609E" w:rsidP="00F62846">
      <w:pPr>
        <w:spacing w:after="0" w:line="240" w:lineRule="auto"/>
      </w:pPr>
      <w:r>
        <w:separator/>
      </w:r>
    </w:p>
  </w:endnote>
  <w:endnote w:type="continuationSeparator" w:id="0">
    <w:p w:rsidR="0014609E" w:rsidRDefault="0014609E" w:rsidP="00F62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4B4" w:rsidRDefault="00914211" w:rsidP="00F224B4">
    <w:pPr>
      <w:pStyle w:val="Footer"/>
      <w:framePr w:wrap="around" w:vAnchor="text" w:hAnchor="margin" w:xAlign="right" w:y="1"/>
      <w:rPr>
        <w:rStyle w:val="PageNumber"/>
      </w:rPr>
    </w:pPr>
    <w:r>
      <w:rPr>
        <w:rStyle w:val="PageNumber"/>
      </w:rPr>
      <w:fldChar w:fldCharType="begin"/>
    </w:r>
    <w:r w:rsidR="00F224B4">
      <w:rPr>
        <w:rStyle w:val="PageNumber"/>
      </w:rPr>
      <w:instrText xml:space="preserve">PAGE  </w:instrText>
    </w:r>
    <w:r>
      <w:rPr>
        <w:rStyle w:val="PageNumber"/>
      </w:rPr>
      <w:fldChar w:fldCharType="end"/>
    </w:r>
  </w:p>
  <w:p w:rsidR="00F224B4" w:rsidRDefault="00F224B4" w:rsidP="00F224B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09E" w:rsidRDefault="0014609E" w:rsidP="00F62846">
      <w:pPr>
        <w:spacing w:after="0" w:line="240" w:lineRule="auto"/>
      </w:pPr>
      <w:r>
        <w:separator/>
      </w:r>
    </w:p>
  </w:footnote>
  <w:footnote w:type="continuationSeparator" w:id="0">
    <w:p w:rsidR="0014609E" w:rsidRDefault="0014609E" w:rsidP="00F628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4B4" w:rsidRDefault="0014609E">
    <w:pPr>
      <w:pStyle w:val="Header"/>
      <w:jc w:val="center"/>
    </w:pPr>
    <w:r>
      <w:fldChar w:fldCharType="begin"/>
    </w:r>
    <w:r>
      <w:instrText xml:space="preserve"> PAGE   \* MERGEFORMAT </w:instrText>
    </w:r>
    <w:r>
      <w:fldChar w:fldCharType="separate"/>
    </w:r>
    <w:r w:rsidR="00B825D7">
      <w:rPr>
        <w:noProof/>
      </w:rPr>
      <w:t>5</w:t>
    </w:r>
    <w:r>
      <w:rPr>
        <w:noProof/>
      </w:rPr>
      <w:fldChar w:fldCharType="end"/>
    </w:r>
  </w:p>
  <w:p w:rsidR="00F224B4" w:rsidRDefault="00F224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DE2"/>
    <w:multiLevelType w:val="hybridMultilevel"/>
    <w:tmpl w:val="7AEADDC0"/>
    <w:lvl w:ilvl="0" w:tplc="A9E67228">
      <w:start w:val="1"/>
      <w:numFmt w:val="decimal"/>
      <w:lvlText w:val="%1."/>
      <w:lvlJc w:val="left"/>
      <w:pPr>
        <w:tabs>
          <w:tab w:val="num" w:pos="1060"/>
        </w:tabs>
        <w:ind w:left="1060" w:hanging="360"/>
      </w:pPr>
      <w:rPr>
        <w:rFonts w:ascii="Times New Roman" w:eastAsia="Times New Roman" w:hAnsi="Times New Roman" w:cs="Times New Roman"/>
      </w:rPr>
    </w:lvl>
    <w:lvl w:ilvl="1" w:tplc="CA1ACF7E">
      <w:numFmt w:val="none"/>
      <w:lvlText w:val=""/>
      <w:lvlJc w:val="left"/>
      <w:pPr>
        <w:tabs>
          <w:tab w:val="num" w:pos="360"/>
        </w:tabs>
      </w:pPr>
    </w:lvl>
    <w:lvl w:ilvl="2" w:tplc="9440CAAE">
      <w:numFmt w:val="none"/>
      <w:lvlText w:val=""/>
      <w:lvlJc w:val="left"/>
      <w:pPr>
        <w:tabs>
          <w:tab w:val="num" w:pos="360"/>
        </w:tabs>
      </w:pPr>
    </w:lvl>
    <w:lvl w:ilvl="3" w:tplc="038C835C">
      <w:numFmt w:val="none"/>
      <w:lvlText w:val=""/>
      <w:lvlJc w:val="left"/>
      <w:pPr>
        <w:tabs>
          <w:tab w:val="num" w:pos="360"/>
        </w:tabs>
      </w:pPr>
    </w:lvl>
    <w:lvl w:ilvl="4" w:tplc="E40AF356">
      <w:numFmt w:val="none"/>
      <w:lvlText w:val=""/>
      <w:lvlJc w:val="left"/>
      <w:pPr>
        <w:tabs>
          <w:tab w:val="num" w:pos="360"/>
        </w:tabs>
      </w:pPr>
    </w:lvl>
    <w:lvl w:ilvl="5" w:tplc="F04C4DC4">
      <w:numFmt w:val="none"/>
      <w:lvlText w:val=""/>
      <w:lvlJc w:val="left"/>
      <w:pPr>
        <w:tabs>
          <w:tab w:val="num" w:pos="360"/>
        </w:tabs>
      </w:pPr>
    </w:lvl>
    <w:lvl w:ilvl="6" w:tplc="D764BE36">
      <w:numFmt w:val="none"/>
      <w:lvlText w:val=""/>
      <w:lvlJc w:val="left"/>
      <w:pPr>
        <w:tabs>
          <w:tab w:val="num" w:pos="360"/>
        </w:tabs>
      </w:pPr>
    </w:lvl>
    <w:lvl w:ilvl="7" w:tplc="97F626D8">
      <w:numFmt w:val="none"/>
      <w:lvlText w:val=""/>
      <w:lvlJc w:val="left"/>
      <w:pPr>
        <w:tabs>
          <w:tab w:val="num" w:pos="360"/>
        </w:tabs>
      </w:pPr>
    </w:lvl>
    <w:lvl w:ilvl="8" w:tplc="9E1057A0">
      <w:numFmt w:val="none"/>
      <w:lvlText w:val=""/>
      <w:lvlJc w:val="left"/>
      <w:pPr>
        <w:tabs>
          <w:tab w:val="num" w:pos="360"/>
        </w:tabs>
      </w:pPr>
    </w:lvl>
  </w:abstractNum>
  <w:abstractNum w:abstractNumId="1">
    <w:nsid w:val="07DD6543"/>
    <w:multiLevelType w:val="hybridMultilevel"/>
    <w:tmpl w:val="7B862882"/>
    <w:lvl w:ilvl="0" w:tplc="6F5ED0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290E70"/>
    <w:multiLevelType w:val="hybridMultilevel"/>
    <w:tmpl w:val="FD4022E4"/>
    <w:lvl w:ilvl="0" w:tplc="8E7CC340">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FE73B79"/>
    <w:multiLevelType w:val="hybridMultilevel"/>
    <w:tmpl w:val="85048162"/>
    <w:lvl w:ilvl="0" w:tplc="2B00F90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
    <w:nsid w:val="10F66BDD"/>
    <w:multiLevelType w:val="hybridMultilevel"/>
    <w:tmpl w:val="C1964D7A"/>
    <w:lvl w:ilvl="0" w:tplc="25929E0C">
      <w:start w:val="4"/>
      <w:numFmt w:val="bullet"/>
      <w:lvlText w:val="-"/>
      <w:lvlJc w:val="left"/>
      <w:pPr>
        <w:ind w:left="1060" w:hanging="360"/>
      </w:pPr>
      <w:rPr>
        <w:rFonts w:ascii="Times New Roman" w:eastAsia="Calibri"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5">
    <w:nsid w:val="14023DAA"/>
    <w:multiLevelType w:val="hybridMultilevel"/>
    <w:tmpl w:val="5C9C3F72"/>
    <w:lvl w:ilvl="0" w:tplc="799CD09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A9E4984"/>
    <w:multiLevelType w:val="hybridMultilevel"/>
    <w:tmpl w:val="7B1E92CA"/>
    <w:lvl w:ilvl="0" w:tplc="6D780F1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237BE5"/>
    <w:multiLevelType w:val="multilevel"/>
    <w:tmpl w:val="0332FD4E"/>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1420"/>
        </w:tabs>
        <w:ind w:left="1420" w:hanging="720"/>
      </w:pPr>
      <w:rPr>
        <w:rFonts w:hint="default"/>
      </w:rPr>
    </w:lvl>
    <w:lvl w:ilvl="2">
      <w:start w:val="1"/>
      <w:numFmt w:val="decimal"/>
      <w:lvlText w:val="%1.%2.%3."/>
      <w:lvlJc w:val="left"/>
      <w:pPr>
        <w:tabs>
          <w:tab w:val="num" w:pos="2120"/>
        </w:tabs>
        <w:ind w:left="2120" w:hanging="720"/>
      </w:pPr>
      <w:rPr>
        <w:rFonts w:hint="default"/>
      </w:rPr>
    </w:lvl>
    <w:lvl w:ilvl="3">
      <w:start w:val="1"/>
      <w:numFmt w:val="decimal"/>
      <w:lvlText w:val="%1.%2.%3.%4."/>
      <w:lvlJc w:val="left"/>
      <w:pPr>
        <w:tabs>
          <w:tab w:val="num" w:pos="3180"/>
        </w:tabs>
        <w:ind w:left="3180" w:hanging="1080"/>
      </w:pPr>
      <w:rPr>
        <w:rFonts w:hint="default"/>
      </w:rPr>
    </w:lvl>
    <w:lvl w:ilvl="4">
      <w:start w:val="1"/>
      <w:numFmt w:val="decimal"/>
      <w:lvlText w:val="%1.%2.%3.%4.%5."/>
      <w:lvlJc w:val="left"/>
      <w:pPr>
        <w:tabs>
          <w:tab w:val="num" w:pos="3880"/>
        </w:tabs>
        <w:ind w:left="3880" w:hanging="1080"/>
      </w:pPr>
      <w:rPr>
        <w:rFonts w:hint="default"/>
      </w:rPr>
    </w:lvl>
    <w:lvl w:ilvl="5">
      <w:start w:val="1"/>
      <w:numFmt w:val="decimal"/>
      <w:lvlText w:val="%1.%2.%3.%4.%5.%6."/>
      <w:lvlJc w:val="left"/>
      <w:pPr>
        <w:tabs>
          <w:tab w:val="num" w:pos="4940"/>
        </w:tabs>
        <w:ind w:left="4940" w:hanging="1440"/>
      </w:pPr>
      <w:rPr>
        <w:rFonts w:hint="default"/>
      </w:rPr>
    </w:lvl>
    <w:lvl w:ilvl="6">
      <w:start w:val="1"/>
      <w:numFmt w:val="decimal"/>
      <w:lvlText w:val="%1.%2.%3.%4.%5.%6.%7."/>
      <w:lvlJc w:val="left"/>
      <w:pPr>
        <w:tabs>
          <w:tab w:val="num" w:pos="6000"/>
        </w:tabs>
        <w:ind w:left="6000" w:hanging="1800"/>
      </w:pPr>
      <w:rPr>
        <w:rFonts w:hint="default"/>
      </w:rPr>
    </w:lvl>
    <w:lvl w:ilvl="7">
      <w:start w:val="1"/>
      <w:numFmt w:val="decimal"/>
      <w:lvlText w:val="%1.%2.%3.%4.%5.%6.%7.%8."/>
      <w:lvlJc w:val="left"/>
      <w:pPr>
        <w:tabs>
          <w:tab w:val="num" w:pos="6700"/>
        </w:tabs>
        <w:ind w:left="6700" w:hanging="1800"/>
      </w:pPr>
      <w:rPr>
        <w:rFonts w:hint="default"/>
      </w:rPr>
    </w:lvl>
    <w:lvl w:ilvl="8">
      <w:start w:val="1"/>
      <w:numFmt w:val="decimal"/>
      <w:lvlText w:val="%1.%2.%3.%4.%5.%6.%7.%8.%9."/>
      <w:lvlJc w:val="left"/>
      <w:pPr>
        <w:tabs>
          <w:tab w:val="num" w:pos="7760"/>
        </w:tabs>
        <w:ind w:left="7760" w:hanging="2160"/>
      </w:pPr>
      <w:rPr>
        <w:rFonts w:hint="default"/>
      </w:rPr>
    </w:lvl>
  </w:abstractNum>
  <w:abstractNum w:abstractNumId="8">
    <w:nsid w:val="23721166"/>
    <w:multiLevelType w:val="hybridMultilevel"/>
    <w:tmpl w:val="F49E16EC"/>
    <w:lvl w:ilvl="0" w:tplc="402C3EF0">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74235CD"/>
    <w:multiLevelType w:val="hybridMultilevel"/>
    <w:tmpl w:val="4E046BA4"/>
    <w:lvl w:ilvl="0" w:tplc="61F6A700">
      <w:start w:val="2"/>
      <w:numFmt w:val="bullet"/>
      <w:lvlText w:val="-"/>
      <w:lvlJc w:val="left"/>
      <w:pPr>
        <w:ind w:left="1060" w:hanging="360"/>
      </w:pPr>
      <w:rPr>
        <w:rFonts w:ascii="Times New Roman" w:eastAsia="Calibri"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nsid w:val="368E1495"/>
    <w:multiLevelType w:val="hybridMultilevel"/>
    <w:tmpl w:val="332227F2"/>
    <w:lvl w:ilvl="0" w:tplc="86F84A8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8B942A7"/>
    <w:multiLevelType w:val="hybridMultilevel"/>
    <w:tmpl w:val="C7A238DE"/>
    <w:lvl w:ilvl="0" w:tplc="D960BE66">
      <w:start w:val="1"/>
      <w:numFmt w:val="upperRoman"/>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1424B19"/>
    <w:multiLevelType w:val="hybridMultilevel"/>
    <w:tmpl w:val="B8647E08"/>
    <w:lvl w:ilvl="0" w:tplc="09E6FEA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B3B38B2"/>
    <w:multiLevelType w:val="hybridMultilevel"/>
    <w:tmpl w:val="DF94B548"/>
    <w:lvl w:ilvl="0" w:tplc="230E33C2">
      <w:start w:val="1"/>
      <w:numFmt w:val="bullet"/>
      <w:lvlText w:val="-"/>
      <w:lvlJc w:val="left"/>
      <w:pPr>
        <w:ind w:left="1060" w:hanging="360"/>
      </w:pPr>
      <w:rPr>
        <w:rFonts w:ascii="Times New Roman" w:eastAsia="Calibri"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4">
    <w:nsid w:val="605F747C"/>
    <w:multiLevelType w:val="multilevel"/>
    <w:tmpl w:val="1ED8B98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15">
    <w:nsid w:val="69006CB2"/>
    <w:multiLevelType w:val="hybridMultilevel"/>
    <w:tmpl w:val="1F541E5E"/>
    <w:lvl w:ilvl="0" w:tplc="F790F00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838595A"/>
    <w:multiLevelType w:val="multilevel"/>
    <w:tmpl w:val="300EEDF4"/>
    <w:lvl w:ilvl="0">
      <w:start w:val="2"/>
      <w:numFmt w:val="decimal"/>
      <w:lvlText w:val="%1"/>
      <w:lvlJc w:val="left"/>
      <w:pPr>
        <w:ind w:left="375" w:hanging="375"/>
      </w:pPr>
      <w:rPr>
        <w:rFonts w:hint="default"/>
      </w:rPr>
    </w:lvl>
    <w:lvl w:ilvl="1">
      <w:start w:val="4"/>
      <w:numFmt w:val="decimal"/>
      <w:lvlText w:val="%1.%2"/>
      <w:lvlJc w:val="left"/>
      <w:pPr>
        <w:ind w:left="1075" w:hanging="375"/>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num w:numId="1">
    <w:abstractNumId w:val="12"/>
  </w:num>
  <w:num w:numId="2">
    <w:abstractNumId w:val="0"/>
  </w:num>
  <w:num w:numId="3">
    <w:abstractNumId w:val="14"/>
  </w:num>
  <w:num w:numId="4">
    <w:abstractNumId w:val="11"/>
  </w:num>
  <w:num w:numId="5">
    <w:abstractNumId w:val="2"/>
  </w:num>
  <w:num w:numId="6">
    <w:abstractNumId w:val="1"/>
  </w:num>
  <w:num w:numId="7">
    <w:abstractNumId w:val="10"/>
  </w:num>
  <w:num w:numId="8">
    <w:abstractNumId w:val="6"/>
  </w:num>
  <w:num w:numId="9">
    <w:abstractNumId w:val="9"/>
  </w:num>
  <w:num w:numId="10">
    <w:abstractNumId w:val="16"/>
  </w:num>
  <w:num w:numId="11">
    <w:abstractNumId w:val="8"/>
  </w:num>
  <w:num w:numId="12">
    <w:abstractNumId w:val="7"/>
  </w:num>
  <w:num w:numId="13">
    <w:abstractNumId w:val="3"/>
  </w:num>
  <w:num w:numId="14">
    <w:abstractNumId w:val="4"/>
  </w:num>
  <w:num w:numId="15">
    <w:abstractNumId w:val="13"/>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00BDB"/>
    <w:rsid w:val="00002E72"/>
    <w:rsid w:val="00022E39"/>
    <w:rsid w:val="000339A4"/>
    <w:rsid w:val="000672FE"/>
    <w:rsid w:val="00075359"/>
    <w:rsid w:val="000A2D48"/>
    <w:rsid w:val="00100BDB"/>
    <w:rsid w:val="00106A03"/>
    <w:rsid w:val="00121A00"/>
    <w:rsid w:val="0014609E"/>
    <w:rsid w:val="0015166D"/>
    <w:rsid w:val="001765AA"/>
    <w:rsid w:val="00182E74"/>
    <w:rsid w:val="001D087A"/>
    <w:rsid w:val="001E07FA"/>
    <w:rsid w:val="00200B8B"/>
    <w:rsid w:val="00205B35"/>
    <w:rsid w:val="00216DB4"/>
    <w:rsid w:val="002902EC"/>
    <w:rsid w:val="002C50D6"/>
    <w:rsid w:val="002E42DD"/>
    <w:rsid w:val="00312FC7"/>
    <w:rsid w:val="00326672"/>
    <w:rsid w:val="00332A78"/>
    <w:rsid w:val="003964F1"/>
    <w:rsid w:val="003D6DD3"/>
    <w:rsid w:val="003F254F"/>
    <w:rsid w:val="00412DB1"/>
    <w:rsid w:val="0047518B"/>
    <w:rsid w:val="004954C9"/>
    <w:rsid w:val="004963C7"/>
    <w:rsid w:val="004B1E9A"/>
    <w:rsid w:val="004B2DCC"/>
    <w:rsid w:val="004F1565"/>
    <w:rsid w:val="00500F70"/>
    <w:rsid w:val="00533D87"/>
    <w:rsid w:val="005A7F92"/>
    <w:rsid w:val="005B4BD3"/>
    <w:rsid w:val="005C4A02"/>
    <w:rsid w:val="005E13F2"/>
    <w:rsid w:val="005E2C96"/>
    <w:rsid w:val="00620B29"/>
    <w:rsid w:val="006227CE"/>
    <w:rsid w:val="0065129D"/>
    <w:rsid w:val="006637DD"/>
    <w:rsid w:val="00676739"/>
    <w:rsid w:val="006A5E53"/>
    <w:rsid w:val="006C1D0D"/>
    <w:rsid w:val="006F4AEA"/>
    <w:rsid w:val="006F6AF0"/>
    <w:rsid w:val="007010D4"/>
    <w:rsid w:val="00707B94"/>
    <w:rsid w:val="00711F90"/>
    <w:rsid w:val="00717749"/>
    <w:rsid w:val="00723426"/>
    <w:rsid w:val="00741004"/>
    <w:rsid w:val="007464E3"/>
    <w:rsid w:val="00757BC0"/>
    <w:rsid w:val="007B2E2F"/>
    <w:rsid w:val="007E12D7"/>
    <w:rsid w:val="00856619"/>
    <w:rsid w:val="00874DD6"/>
    <w:rsid w:val="00875D14"/>
    <w:rsid w:val="0088651E"/>
    <w:rsid w:val="008A4E0E"/>
    <w:rsid w:val="008A51C6"/>
    <w:rsid w:val="008B40C4"/>
    <w:rsid w:val="008B5C98"/>
    <w:rsid w:val="00901BC4"/>
    <w:rsid w:val="00914211"/>
    <w:rsid w:val="00916290"/>
    <w:rsid w:val="00931E51"/>
    <w:rsid w:val="009461E0"/>
    <w:rsid w:val="00997263"/>
    <w:rsid w:val="009B0BC9"/>
    <w:rsid w:val="009C70D4"/>
    <w:rsid w:val="009D7F45"/>
    <w:rsid w:val="009F7E7A"/>
    <w:rsid w:val="00A21BE4"/>
    <w:rsid w:val="00A4297A"/>
    <w:rsid w:val="00A432D7"/>
    <w:rsid w:val="00A60B48"/>
    <w:rsid w:val="00A83ACD"/>
    <w:rsid w:val="00AE6D58"/>
    <w:rsid w:val="00B14EF5"/>
    <w:rsid w:val="00B46E3C"/>
    <w:rsid w:val="00B7631A"/>
    <w:rsid w:val="00B825D7"/>
    <w:rsid w:val="00B95B86"/>
    <w:rsid w:val="00BA1F9B"/>
    <w:rsid w:val="00BC51E8"/>
    <w:rsid w:val="00BD1CF3"/>
    <w:rsid w:val="00BD4EE5"/>
    <w:rsid w:val="00BD7549"/>
    <w:rsid w:val="00BF2D9F"/>
    <w:rsid w:val="00C21487"/>
    <w:rsid w:val="00C91187"/>
    <w:rsid w:val="00D018A8"/>
    <w:rsid w:val="00D1431E"/>
    <w:rsid w:val="00D367B3"/>
    <w:rsid w:val="00D3682F"/>
    <w:rsid w:val="00D3752D"/>
    <w:rsid w:val="00DA0B21"/>
    <w:rsid w:val="00DB758D"/>
    <w:rsid w:val="00DC61DA"/>
    <w:rsid w:val="00E06353"/>
    <w:rsid w:val="00E21F3A"/>
    <w:rsid w:val="00E652EF"/>
    <w:rsid w:val="00EE7073"/>
    <w:rsid w:val="00F224B4"/>
    <w:rsid w:val="00F506A8"/>
    <w:rsid w:val="00F62846"/>
    <w:rsid w:val="00FA4DB9"/>
    <w:rsid w:val="00FA797C"/>
    <w:rsid w:val="00FB7D91"/>
    <w:rsid w:val="00FC1A3E"/>
    <w:rsid w:val="00FD5741"/>
    <w:rsid w:val="00FE025B"/>
    <w:rsid w:val="00FE77B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9"/>
    <o:shapelayout v:ext="edit">
      <o:idmap v:ext="edit" data="1"/>
      <o:rules v:ext="edit">
        <o:r id="V:Rule1" type="connector" idref="#_x0000_s1027"/>
        <o:r id="V:Rule2"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6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BDB"/>
    <w:pPr>
      <w:ind w:left="720"/>
      <w:contextualSpacing/>
    </w:pPr>
    <w:rPr>
      <w:rFonts w:eastAsia="Calibri" w:cs="Times New Roman"/>
      <w:szCs w:val="28"/>
    </w:rPr>
  </w:style>
  <w:style w:type="paragraph" w:styleId="Footer">
    <w:name w:val="footer"/>
    <w:basedOn w:val="Normal"/>
    <w:link w:val="FooterChar"/>
    <w:uiPriority w:val="99"/>
    <w:rsid w:val="00100BDB"/>
    <w:pPr>
      <w:tabs>
        <w:tab w:val="center" w:pos="4320"/>
        <w:tab w:val="right" w:pos="864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100BDB"/>
    <w:rPr>
      <w:rFonts w:eastAsia="Times New Roman" w:cs="Times New Roman"/>
      <w:sz w:val="20"/>
      <w:szCs w:val="20"/>
    </w:rPr>
  </w:style>
  <w:style w:type="character" w:styleId="PageNumber">
    <w:name w:val="page number"/>
    <w:basedOn w:val="DefaultParagraphFont"/>
    <w:rsid w:val="00100BDB"/>
  </w:style>
  <w:style w:type="paragraph" w:styleId="Header">
    <w:name w:val="header"/>
    <w:basedOn w:val="Normal"/>
    <w:link w:val="HeaderChar"/>
    <w:uiPriority w:val="99"/>
    <w:rsid w:val="00100BDB"/>
    <w:pPr>
      <w:tabs>
        <w:tab w:val="center" w:pos="4320"/>
        <w:tab w:val="right" w:pos="8640"/>
      </w:tabs>
      <w:spacing w:after="0" w:line="240" w:lineRule="auto"/>
    </w:pPr>
    <w:rPr>
      <w:rFonts w:eastAsia="Times New Roman" w:cs="Times New Roman"/>
      <w:color w:val="000000"/>
      <w:sz w:val="20"/>
      <w:szCs w:val="20"/>
    </w:rPr>
  </w:style>
  <w:style w:type="character" w:customStyle="1" w:styleId="HeaderChar">
    <w:name w:val="Header Char"/>
    <w:basedOn w:val="DefaultParagraphFont"/>
    <w:link w:val="Header"/>
    <w:uiPriority w:val="99"/>
    <w:rsid w:val="00100BDB"/>
    <w:rPr>
      <w:rFonts w:eastAsia="Times New Roman" w:cs="Times New Roman"/>
      <w:color w:val="000000"/>
      <w:sz w:val="20"/>
      <w:szCs w:val="20"/>
    </w:rPr>
  </w:style>
  <w:style w:type="table" w:styleId="TableGrid">
    <w:name w:val="Table Grid"/>
    <w:basedOn w:val="TableNormal"/>
    <w:rsid w:val="00100BDB"/>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autoRedefine/>
    <w:rsid w:val="00100BDB"/>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rsid w:val="00100BDB"/>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semiHidden/>
    <w:rsid w:val="00100BDB"/>
    <w:pPr>
      <w:spacing w:after="0" w:line="240" w:lineRule="auto"/>
    </w:pPr>
    <w:rPr>
      <w:rFonts w:ascii="Tahoma" w:eastAsia="Times New Roman" w:hAnsi="Tahoma" w:cs="Times New Roman"/>
      <w:color w:val="000000"/>
      <w:sz w:val="16"/>
      <w:szCs w:val="16"/>
    </w:rPr>
  </w:style>
  <w:style w:type="character" w:customStyle="1" w:styleId="BalloonTextChar">
    <w:name w:val="Balloon Text Char"/>
    <w:basedOn w:val="DefaultParagraphFont"/>
    <w:link w:val="BalloonText"/>
    <w:semiHidden/>
    <w:rsid w:val="00100BDB"/>
    <w:rPr>
      <w:rFonts w:ascii="Tahoma" w:eastAsia="Times New Roman" w:hAnsi="Tahoma" w:cs="Times New Roman"/>
      <w:color w:val="000000"/>
      <w:sz w:val="16"/>
      <w:szCs w:val="16"/>
    </w:rPr>
  </w:style>
  <w:style w:type="character" w:customStyle="1" w:styleId="apple-converted-space">
    <w:name w:val="apple-converted-space"/>
    <w:basedOn w:val="DefaultParagraphFont"/>
    <w:rsid w:val="00100BDB"/>
  </w:style>
  <w:style w:type="character" w:customStyle="1" w:styleId="Absatz-Standardschriftart">
    <w:name w:val="Absatz-Standardschriftart"/>
    <w:rsid w:val="00100BDB"/>
  </w:style>
  <w:style w:type="character" w:customStyle="1" w:styleId="Bodytext">
    <w:name w:val="Body text_"/>
    <w:link w:val="BodyText1"/>
    <w:rsid w:val="00100BDB"/>
    <w:rPr>
      <w:color w:val="2A2D31"/>
      <w:sz w:val="26"/>
      <w:szCs w:val="26"/>
      <w:shd w:val="clear" w:color="auto" w:fill="FFFFFF"/>
    </w:rPr>
  </w:style>
  <w:style w:type="paragraph" w:customStyle="1" w:styleId="BodyText1">
    <w:name w:val="Body Text1"/>
    <w:basedOn w:val="Normal"/>
    <w:link w:val="Bodytext"/>
    <w:qFormat/>
    <w:rsid w:val="00100BDB"/>
    <w:pPr>
      <w:widowControl w:val="0"/>
      <w:shd w:val="clear" w:color="auto" w:fill="FFFFFF"/>
      <w:spacing w:after="100" w:line="259" w:lineRule="auto"/>
      <w:ind w:firstLine="400"/>
    </w:pPr>
    <w:rPr>
      <w:color w:val="2A2D3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550</TotalTime>
  <Pages>5</Pages>
  <Words>1622</Words>
  <Characters>9247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82</cp:revision>
  <dcterms:created xsi:type="dcterms:W3CDTF">2022-03-16T07:08:00Z</dcterms:created>
  <dcterms:modified xsi:type="dcterms:W3CDTF">2022-10-27T09:32:00Z</dcterms:modified>
</cp:coreProperties>
</file>